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1EEA8">
      <w:pPr>
        <w:spacing w:before="0" w:line="1540" w:lineRule="exact"/>
        <w:ind w:left="160" w:right="0" w:firstLine="0"/>
        <w:jc w:val="left"/>
        <w:rPr>
          <w:rFonts w:hint="eastAsia" w:ascii="微软雅黑" w:eastAsia="微软雅黑"/>
          <w:b/>
          <w:sz w:val="96"/>
        </w:rPr>
      </w:pPr>
      <w:r>
        <w:rPr>
          <w:rFonts w:hint="eastAsia" w:ascii="微软雅黑" w:eastAsia="微软雅黑"/>
          <w:b/>
          <w:color w:val="FF0000"/>
          <w:w w:val="75"/>
          <w:sz w:val="96"/>
        </w:rPr>
        <w:t>北京工业职业技术学院文件</w:t>
      </w:r>
    </w:p>
    <w:p w14:paraId="452B5CBD">
      <w:pPr>
        <w:pStyle w:val="3"/>
        <w:spacing w:before="17"/>
        <w:ind w:left="0"/>
        <w:rPr>
          <w:rFonts w:ascii="微软雅黑"/>
          <w:b/>
          <w:sz w:val="87"/>
        </w:rPr>
      </w:pPr>
    </w:p>
    <w:p w14:paraId="129FB085">
      <w:pPr>
        <w:pStyle w:val="3"/>
        <w:ind w:left="2879"/>
      </w:pPr>
      <w:r>
        <w:t>北工院政发〔2024〕46 号</w:t>
      </w:r>
    </w:p>
    <w:p w14:paraId="1B55EEC0">
      <w:pPr>
        <w:pStyle w:val="3"/>
        <w:spacing w:before="5"/>
        <w:ind w:left="0"/>
        <w:rPr>
          <w:sz w:val="21"/>
        </w:rPr>
      </w:pPr>
      <w:r>
        <w:pict>
          <v:line id="_x0000_s1026" o:spid="_x0000_s1026" o:spt="20" style="position:absolute;left:0pt;margin-left:87.05pt;margin-top:17.15pt;height:0pt;width:441pt;mso-position-horizontal-relative:page;mso-wrap-distance-bottom:0pt;mso-wrap-distance-top:0pt;z-index:251659264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  <w10:wrap type="topAndBottom"/>
          </v:line>
        </w:pict>
      </w:r>
    </w:p>
    <w:p w14:paraId="6B634CC9">
      <w:pPr>
        <w:spacing w:before="237" w:line="695" w:lineRule="exact"/>
        <w:ind w:left="2276" w:right="0" w:firstLine="0"/>
        <w:jc w:val="left"/>
        <w:rPr>
          <w:rFonts w:hint="eastAsia" w:ascii="微软雅黑" w:eastAsia="微软雅黑"/>
          <w:b/>
          <w:sz w:val="44"/>
        </w:rPr>
      </w:pPr>
      <w:r>
        <w:rPr>
          <w:rFonts w:hint="eastAsia" w:ascii="微软雅黑" w:eastAsia="微软雅黑"/>
          <w:b/>
          <w:sz w:val="44"/>
        </w:rPr>
        <w:t>北京工业职业技术学院</w:t>
      </w:r>
    </w:p>
    <w:p w14:paraId="0631CA3A">
      <w:pPr>
        <w:spacing w:before="47" w:line="172" w:lineRule="auto"/>
        <w:ind w:left="3820" w:right="288" w:hanging="3636"/>
        <w:jc w:val="left"/>
        <w:rPr>
          <w:rFonts w:hint="eastAsia" w:ascii="微软雅黑" w:eastAsia="微软雅黑"/>
          <w:b/>
          <w:sz w:val="44"/>
        </w:rPr>
      </w:pPr>
      <w:r>
        <w:rPr>
          <w:rFonts w:hint="eastAsia" w:ascii="微软雅黑" w:eastAsia="微软雅黑"/>
          <w:b/>
          <w:sz w:val="44"/>
        </w:rPr>
        <w:t>关于印发《科研项目经费管理办法（修订</w:t>
      </w:r>
      <w:r>
        <w:rPr>
          <w:rFonts w:hint="eastAsia" w:ascii="微软雅黑" w:eastAsia="微软雅黑"/>
          <w:b/>
          <w:spacing w:val="-219"/>
          <w:sz w:val="44"/>
        </w:rPr>
        <w:t>）</w:t>
      </w:r>
      <w:r>
        <w:rPr>
          <w:rFonts w:hint="eastAsia" w:ascii="微软雅黑" w:eastAsia="微软雅黑"/>
          <w:b/>
          <w:sz w:val="44"/>
        </w:rPr>
        <w:t>》的通知</w:t>
      </w:r>
    </w:p>
    <w:p w14:paraId="2D20B9A0">
      <w:pPr>
        <w:pStyle w:val="3"/>
        <w:spacing w:before="8"/>
        <w:ind w:left="0"/>
        <w:rPr>
          <w:rFonts w:ascii="微软雅黑"/>
          <w:b/>
          <w:sz w:val="36"/>
        </w:rPr>
      </w:pPr>
    </w:p>
    <w:p w14:paraId="4DD27BDF">
      <w:pPr>
        <w:pStyle w:val="3"/>
        <w:spacing w:before="1"/>
        <w:rPr>
          <w:rFonts w:hint="eastAsia" w:ascii="仿宋" w:eastAsia="仿宋"/>
        </w:rPr>
      </w:pPr>
      <w:r>
        <w:rPr>
          <w:rFonts w:hint="eastAsia" w:ascii="仿宋" w:eastAsia="仿宋"/>
        </w:rPr>
        <w:t>校属各部门、各单位：</w:t>
      </w:r>
    </w:p>
    <w:p w14:paraId="7B2BD424">
      <w:pPr>
        <w:pStyle w:val="3"/>
        <w:spacing w:before="171" w:line="338" w:lineRule="auto"/>
        <w:ind w:right="258" w:firstLine="628"/>
        <w:jc w:val="both"/>
        <w:rPr>
          <w:rFonts w:hint="eastAsia" w:ascii="仿宋" w:eastAsia="仿宋"/>
        </w:rPr>
      </w:pPr>
      <w:r>
        <w:rPr>
          <w:rFonts w:hint="eastAsia" w:ascii="仿宋" w:eastAsia="仿宋"/>
        </w:rPr>
        <w:t>学校《科研项目经费管理办法（修订</w:t>
      </w:r>
      <w:r>
        <w:rPr>
          <w:rFonts w:hint="eastAsia" w:ascii="仿宋" w:eastAsia="仿宋"/>
          <w:spacing w:val="-161"/>
        </w:rPr>
        <w:t>）</w:t>
      </w:r>
      <w:r>
        <w:rPr>
          <w:rFonts w:hint="eastAsia" w:ascii="仿宋" w:eastAsia="仿宋"/>
          <w:spacing w:val="-17"/>
        </w:rPr>
        <w:t xml:space="preserve">》已经校 </w:t>
      </w:r>
      <w:r>
        <w:rPr>
          <w:rFonts w:hint="eastAsia" w:ascii="仿宋" w:eastAsia="仿宋"/>
        </w:rPr>
        <w:t>2024</w:t>
      </w:r>
      <w:r>
        <w:rPr>
          <w:rFonts w:hint="eastAsia" w:ascii="仿宋" w:eastAsia="仿宋"/>
          <w:spacing w:val="-29"/>
        </w:rPr>
        <w:t xml:space="preserve"> 年第</w:t>
      </w:r>
      <w:r>
        <w:rPr>
          <w:rFonts w:hint="eastAsia" w:ascii="仿宋" w:eastAsia="仿宋"/>
          <w:spacing w:val="-29"/>
          <w:w w:val="95"/>
        </w:rPr>
        <w:t>四十一次校长办公会会议审议通过，现印发给你们，请认真贯</w:t>
      </w:r>
      <w:r>
        <w:rPr>
          <w:rFonts w:hint="eastAsia" w:ascii="仿宋" w:eastAsia="仿宋"/>
          <w:spacing w:val="-29"/>
        </w:rPr>
        <w:t>彻执行。</w:t>
      </w:r>
    </w:p>
    <w:p w14:paraId="3C610B5F">
      <w:pPr>
        <w:pStyle w:val="3"/>
        <w:ind w:left="0"/>
        <w:rPr>
          <w:rFonts w:ascii="仿宋"/>
        </w:rPr>
      </w:pPr>
    </w:p>
    <w:p w14:paraId="05A4380F">
      <w:pPr>
        <w:pStyle w:val="3"/>
        <w:ind w:left="0"/>
        <w:rPr>
          <w:rFonts w:ascii="仿宋"/>
        </w:rPr>
      </w:pPr>
    </w:p>
    <w:p w14:paraId="0D7D9B77">
      <w:pPr>
        <w:pStyle w:val="3"/>
        <w:spacing w:before="11"/>
        <w:ind w:left="0"/>
        <w:rPr>
          <w:rFonts w:ascii="仿宋"/>
          <w:sz w:val="26"/>
        </w:rPr>
      </w:pPr>
    </w:p>
    <w:p w14:paraId="1EC7236D">
      <w:pPr>
        <w:pStyle w:val="3"/>
        <w:ind w:left="4898" w:right="921"/>
        <w:jc w:val="center"/>
        <w:rPr>
          <w:rFonts w:hint="eastAsia" w:ascii="仿宋" w:eastAsia="仿宋"/>
        </w:rPr>
      </w:pPr>
      <w:r>
        <w:rPr>
          <w:rFonts w:hint="eastAsia" w:ascii="仿宋" w:eastAsia="仿宋"/>
        </w:rPr>
        <w:t>北京工业职业技术学院</w:t>
      </w:r>
    </w:p>
    <w:p w14:paraId="156AE2F1">
      <w:pPr>
        <w:pStyle w:val="3"/>
        <w:spacing w:before="171"/>
        <w:ind w:left="4898" w:right="779"/>
        <w:jc w:val="center"/>
        <w:rPr>
          <w:rFonts w:hint="eastAsia" w:ascii="仿宋" w:eastAsia="仿宋"/>
        </w:rPr>
      </w:pPr>
      <w:r>
        <w:rPr>
          <w:rFonts w:hint="eastAsia" w:ascii="仿宋" w:eastAsia="仿宋"/>
        </w:rPr>
        <w:t>2024</w:t>
      </w:r>
      <w:r>
        <w:rPr>
          <w:rFonts w:hint="eastAsia" w:ascii="仿宋" w:eastAsia="仿宋"/>
          <w:spacing w:val="-54"/>
        </w:rPr>
        <w:t xml:space="preserve"> 年 </w:t>
      </w:r>
      <w:r>
        <w:rPr>
          <w:rFonts w:hint="eastAsia" w:ascii="仿宋" w:eastAsia="仿宋"/>
        </w:rPr>
        <w:t>12</w:t>
      </w:r>
      <w:r>
        <w:rPr>
          <w:rFonts w:hint="eastAsia" w:ascii="仿宋" w:eastAsia="仿宋"/>
          <w:spacing w:val="-55"/>
        </w:rPr>
        <w:t xml:space="preserve"> 月 </w:t>
      </w:r>
      <w:r>
        <w:rPr>
          <w:rFonts w:hint="eastAsia" w:ascii="仿宋" w:eastAsia="仿宋"/>
        </w:rPr>
        <w:t>24</w:t>
      </w:r>
      <w:r>
        <w:rPr>
          <w:rFonts w:hint="eastAsia" w:ascii="仿宋" w:eastAsia="仿宋"/>
          <w:spacing w:val="-41"/>
        </w:rPr>
        <w:t xml:space="preserve"> 日</w:t>
      </w:r>
    </w:p>
    <w:p w14:paraId="603A8D39">
      <w:pPr>
        <w:spacing w:after="0"/>
        <w:jc w:val="center"/>
        <w:rPr>
          <w:rFonts w:hint="eastAsia" w:ascii="仿宋" w:eastAsia="仿宋"/>
        </w:rPr>
        <w:sectPr>
          <w:type w:val="continuous"/>
          <w:pgSz w:w="12240" w:h="15840"/>
          <w:pgMar w:top="1440" w:right="1540" w:bottom="280" w:left="1640" w:header="720" w:footer="720" w:gutter="0"/>
          <w:pgNumType w:fmt="decimal"/>
          <w:cols w:space="720" w:num="1"/>
        </w:sectPr>
      </w:pPr>
    </w:p>
    <w:p w14:paraId="474B6264">
      <w:pPr>
        <w:pStyle w:val="2"/>
        <w:spacing w:before="27"/>
        <w:ind w:left="2279"/>
      </w:pPr>
      <w:r>
        <w:t>北京工业职业技术学院</w:t>
      </w:r>
    </w:p>
    <w:p w14:paraId="2B02E115">
      <w:pPr>
        <w:spacing w:before="0" w:line="561" w:lineRule="exact"/>
        <w:ind w:left="1400" w:right="0" w:firstLine="0"/>
        <w:jc w:val="left"/>
        <w:rPr>
          <w:sz w:val="44"/>
        </w:rPr>
      </w:pPr>
      <w:r>
        <w:rPr>
          <w:sz w:val="44"/>
        </w:rPr>
        <w:t>科研项目经费管理办法（修订）</w:t>
      </w:r>
    </w:p>
    <w:p w14:paraId="53194EFA">
      <w:pPr>
        <w:pStyle w:val="3"/>
        <w:spacing w:before="358"/>
        <w:ind w:left="823" w:right="921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第一章 总 则</w:t>
      </w:r>
    </w:p>
    <w:p w14:paraId="4DEB0214">
      <w:pPr>
        <w:pStyle w:val="3"/>
        <w:spacing w:before="152" w:line="328" w:lineRule="auto"/>
        <w:ind w:right="258" w:firstLine="640"/>
        <w:jc w:val="both"/>
      </w:pPr>
      <w:r>
        <w:rPr>
          <w:spacing w:val="-12"/>
        </w:rPr>
        <w:t>第一条 为规范和加强我校科研经费管理，提高资金使用效</w:t>
      </w:r>
      <w:r>
        <w:rPr>
          <w:spacing w:val="-12"/>
          <w:w w:val="95"/>
        </w:rPr>
        <w:t xml:space="preserve">益，促进科研工作健康有序开展，根据《北京市进一步完善财 </w:t>
      </w:r>
      <w:r>
        <w:rPr>
          <w:spacing w:val="-3"/>
        </w:rPr>
        <w:t>政科研项目和经费管理的若干政策措施》</w:t>
      </w:r>
      <w:r>
        <w:rPr>
          <w:spacing w:val="5"/>
        </w:rPr>
        <w:t>（京办发〔</w:t>
      </w:r>
      <w:r>
        <w:t>2016</w:t>
      </w:r>
      <w:r>
        <w:rPr>
          <w:spacing w:val="7"/>
        </w:rPr>
        <w:t>〕</w:t>
      </w:r>
      <w:r>
        <w:t xml:space="preserve">36 </w:t>
      </w:r>
      <w:r>
        <w:rPr>
          <w:spacing w:val="5"/>
          <w:w w:val="95"/>
        </w:rPr>
        <w:t>号</w:t>
      </w:r>
      <w:r>
        <w:rPr>
          <w:spacing w:val="-151"/>
          <w:w w:val="95"/>
        </w:rPr>
        <w:t>）</w:t>
      </w:r>
      <w:r>
        <w:rPr>
          <w:spacing w:val="-15"/>
          <w:w w:val="95"/>
        </w:rPr>
        <w:t>、《北京市教育财政科研类项目经费管理办法》</w:t>
      </w:r>
      <w:r>
        <w:rPr>
          <w:spacing w:val="5"/>
          <w:w w:val="95"/>
        </w:rPr>
        <w:t>（</w:t>
      </w:r>
      <w:r>
        <w:rPr>
          <w:spacing w:val="2"/>
          <w:w w:val="95"/>
        </w:rPr>
        <w:t>京财教育</w:t>
      </w:r>
    </w:p>
    <w:p w14:paraId="49E93B78">
      <w:pPr>
        <w:pStyle w:val="3"/>
        <w:spacing w:line="328" w:lineRule="auto"/>
        <w:ind w:right="99"/>
      </w:pPr>
      <w:r>
        <w:t>〔2016</w:t>
      </w:r>
      <w:r>
        <w:rPr>
          <w:spacing w:val="-135"/>
        </w:rPr>
        <w:t>〕</w:t>
      </w:r>
      <w:r>
        <w:t>3001</w:t>
      </w:r>
      <w:r>
        <w:rPr>
          <w:spacing w:val="-43"/>
        </w:rPr>
        <w:t xml:space="preserve"> 号</w:t>
      </w:r>
      <w:r>
        <w:rPr>
          <w:spacing w:val="-159"/>
        </w:rPr>
        <w:t>）</w:t>
      </w:r>
      <w:r>
        <w:rPr>
          <w:spacing w:val="-26"/>
        </w:rPr>
        <w:t>、《北京市属高校基本科研业务费管理办法</w:t>
      </w:r>
      <w:r>
        <w:t>（试行</w:t>
      </w:r>
      <w:r>
        <w:rPr>
          <w:spacing w:val="-159"/>
        </w:rPr>
        <w:t>）</w:t>
      </w:r>
      <w:r>
        <w:rPr>
          <w:spacing w:val="-175"/>
        </w:rPr>
        <w:t>》</w:t>
      </w:r>
      <w:r>
        <w:t>（</w:t>
      </w:r>
      <w:r>
        <w:rPr>
          <w:spacing w:val="-4"/>
        </w:rPr>
        <w:t>京财教育〔</w:t>
      </w:r>
      <w:r>
        <w:t>2018</w:t>
      </w:r>
      <w:r>
        <w:rPr>
          <w:spacing w:val="-15"/>
        </w:rPr>
        <w:t>〕</w:t>
      </w:r>
      <w:r>
        <w:t>512</w:t>
      </w:r>
      <w:r>
        <w:rPr>
          <w:spacing w:val="-48"/>
        </w:rPr>
        <w:t xml:space="preserve"> 号</w:t>
      </w:r>
      <w:r>
        <w:rPr>
          <w:spacing w:val="-15"/>
        </w:rPr>
        <w:t>）</w:t>
      </w:r>
      <w:r>
        <w:rPr>
          <w:spacing w:val="-3"/>
        </w:rPr>
        <w:t>等文件精神，结合我校实际， 制定本办法。</w:t>
      </w:r>
    </w:p>
    <w:p w14:paraId="49C003B2">
      <w:pPr>
        <w:pStyle w:val="3"/>
        <w:spacing w:line="328" w:lineRule="auto"/>
        <w:ind w:right="99" w:firstLine="640"/>
      </w:pPr>
      <w:r>
        <w:rPr>
          <w:spacing w:val="2"/>
        </w:rPr>
        <w:t>第二条 本办法中科研项目经费指学校为开展科研活动所</w:t>
      </w:r>
      <w:r>
        <w:rPr>
          <w:spacing w:val="-12"/>
          <w:w w:val="95"/>
        </w:rPr>
        <w:t xml:space="preserve">取得的项目经费，包括纵向科研项目经费和横向科研项目经费。 </w:t>
      </w:r>
      <w:r>
        <w:rPr>
          <w:spacing w:val="-16"/>
        </w:rPr>
        <w:t>纵向项目指由国家各部委、各省</w:t>
      </w:r>
      <w:r>
        <w:t>（</w:t>
      </w:r>
      <w:r>
        <w:rPr>
          <w:spacing w:val="-7"/>
        </w:rPr>
        <w:t>自治区、直辖市</w:t>
      </w:r>
      <w:r>
        <w:rPr>
          <w:spacing w:val="-159"/>
        </w:rPr>
        <w:t>）</w:t>
      </w:r>
      <w:r>
        <w:rPr>
          <w:spacing w:val="-9"/>
        </w:rPr>
        <w:t>、市委办局等政府部门（或者受政府部门委托）发布的科研项目（含各类</w:t>
      </w:r>
      <w:r>
        <w:rPr>
          <w:spacing w:val="-14"/>
        </w:rPr>
        <w:t>基金、专项等</w:t>
      </w:r>
      <w:r>
        <w:rPr>
          <w:spacing w:val="-51"/>
        </w:rPr>
        <w:t>）</w:t>
      </w:r>
      <w:r>
        <w:rPr>
          <w:spacing w:val="-3"/>
        </w:rPr>
        <w:t>及我校发布的校立科研项目(一般课题、重点课</w:t>
      </w:r>
      <w:r>
        <w:rPr>
          <w:spacing w:val="-13"/>
        </w:rPr>
        <w:t>题、青年基金课题)；横向项目指由企事业单位、社会组织、个</w:t>
      </w:r>
      <w:r>
        <w:rPr>
          <w:spacing w:val="-18"/>
          <w:w w:val="95"/>
        </w:rPr>
        <w:t xml:space="preserve">人等委托或合作研究，经费由委托方或合作方提供的科研项目， </w:t>
      </w:r>
      <w:r>
        <w:rPr>
          <w:spacing w:val="-18"/>
        </w:rPr>
        <w:t>横向项目的种类包括技术服务、技术转让、技术开发、技术委托、技术咨询、技术培训、产品试制、信息服务、检测服务、论证报告、技术文献翻译等。</w:t>
      </w:r>
    </w:p>
    <w:p w14:paraId="77F96A1C">
      <w:pPr>
        <w:pStyle w:val="3"/>
        <w:spacing w:line="392" w:lineRule="exact"/>
        <w:ind w:left="800"/>
      </w:pPr>
      <w:r>
        <w:t>纵向项目经费应按照项目主管单位的项目经费管理办法进</w:t>
      </w:r>
    </w:p>
    <w:p w14:paraId="120A0EB8">
      <w:pPr>
        <w:spacing w:after="0" w:line="392" w:lineRule="exact"/>
        <w:sectPr>
          <w:footerReference r:id="rId5" w:type="default"/>
          <w:footerReference r:id="rId6" w:type="even"/>
          <w:pgSz w:w="12240" w:h="15840"/>
          <w:pgMar w:top="1420" w:right="1540" w:bottom="1560" w:left="1640" w:header="0" w:footer="1378" w:gutter="0"/>
          <w:pgNumType w:fmt="decimal" w:start="2"/>
          <w:cols w:space="720" w:num="1"/>
        </w:sectPr>
      </w:pPr>
    </w:p>
    <w:p w14:paraId="45B1A487">
      <w:pPr>
        <w:pStyle w:val="3"/>
        <w:spacing w:before="69" w:line="326" w:lineRule="auto"/>
        <w:ind w:right="258"/>
        <w:jc w:val="both"/>
      </w:pPr>
      <w:r>
        <w:rPr>
          <w:w w:val="95"/>
        </w:rPr>
        <w:t>行管理，没有明确要求的部分均按照本办法执行。横向项目经费委托方的合同进行管理，无明确管理办法的项目按照本办法</w:t>
      </w:r>
      <w:r>
        <w:t>执行。</w:t>
      </w:r>
    </w:p>
    <w:p w14:paraId="42E49A15">
      <w:pPr>
        <w:pStyle w:val="3"/>
        <w:spacing w:before="8" w:line="328" w:lineRule="auto"/>
        <w:ind w:right="258" w:firstLine="640"/>
        <w:jc w:val="both"/>
      </w:pPr>
      <w:r>
        <w:rPr>
          <w:spacing w:val="-13"/>
        </w:rPr>
        <w:t>第三条 科研经费管理遵照“遵循规律、分类管理、科学安</w:t>
      </w:r>
      <w:r>
        <w:rPr>
          <w:spacing w:val="-13"/>
          <w:w w:val="95"/>
        </w:rPr>
        <w:t>排、专款专用、单独核算、公正公开、追踪问效”的原则。凡以“北京工业职业技术学院”名义取得的各类科研经费，全部</w:t>
      </w:r>
      <w:r>
        <w:rPr>
          <w:spacing w:val="-13"/>
        </w:rPr>
        <w:t>纳入学校财务部门统一管理、集中核算。</w:t>
      </w:r>
    </w:p>
    <w:p w14:paraId="6BE41EA9">
      <w:pPr>
        <w:pStyle w:val="3"/>
        <w:tabs>
          <w:tab w:val="left" w:pos="4479"/>
        </w:tabs>
        <w:spacing w:line="402" w:lineRule="exact"/>
        <w:ind w:left="3200"/>
        <w:rPr>
          <w:rFonts w:hint="eastAsia" w:ascii="黑体" w:eastAsia="黑体"/>
        </w:rPr>
      </w:pPr>
      <w:r>
        <w:rPr>
          <w:rFonts w:hint="eastAsia" w:ascii="黑体" w:eastAsia="黑体"/>
        </w:rPr>
        <w:t>第二章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职责分工</w:t>
      </w:r>
    </w:p>
    <w:p w14:paraId="2788D1F7">
      <w:pPr>
        <w:pStyle w:val="3"/>
        <w:spacing w:before="149" w:line="328" w:lineRule="auto"/>
        <w:ind w:right="99" w:firstLine="640"/>
      </w:pPr>
      <w:r>
        <w:rPr>
          <w:spacing w:val="2"/>
        </w:rPr>
        <w:t>第四条 项目负责人是科研项目经费使用管理的直接责任人，对经费使用、项目实施的真实性、规范性、合法性、合理</w:t>
      </w:r>
      <w:r>
        <w:rPr>
          <w:spacing w:val="-13"/>
          <w:w w:val="95"/>
        </w:rPr>
        <w:t xml:space="preserve">性和有效性负责。主要职责：根据要求编制科研项目经费预算， </w:t>
      </w:r>
      <w:r>
        <w:rPr>
          <w:spacing w:val="-13"/>
        </w:rPr>
        <w:t>遵守财经纪律，对项目支出、科研成果负责，配合学校相关部门及上级主管部门对项目经费进行审查和绩效评价。</w:t>
      </w:r>
    </w:p>
    <w:p w14:paraId="0167B1D8">
      <w:pPr>
        <w:pStyle w:val="3"/>
        <w:spacing w:line="328" w:lineRule="auto"/>
        <w:ind w:right="99" w:firstLine="640"/>
      </w:pPr>
      <w:r>
        <w:t>第五条 二级单位要加强对本单位科研工作的领导和监督， 督促项目负责人按照立项书、合同等规定的绩效目标和批准的经费预算开展工作，加强项目库建设，对项目进行全过程预算绩效管理。主要职责：审查项目立项，监督项目资金使用</w:t>
      </w:r>
      <w:r>
        <w:rPr>
          <w:rFonts w:hint="eastAsia"/>
          <w:lang w:eastAsia="zh-CN"/>
        </w:rPr>
        <w:t>，</w:t>
      </w:r>
      <w:r>
        <w:t>负责保管购买的设备、材料、项目成果等资产，对科研活动真实性进行审查，预防学术不端行为的发生。</w:t>
      </w:r>
    </w:p>
    <w:p w14:paraId="38CF44F7">
      <w:pPr>
        <w:pStyle w:val="3"/>
        <w:spacing w:line="328" w:lineRule="auto"/>
        <w:ind w:right="258" w:firstLine="640"/>
        <w:jc w:val="both"/>
        <w:sectPr>
          <w:pgSz w:w="12240" w:h="15840"/>
          <w:pgMar w:top="1500" w:right="1540" w:bottom="1560" w:left="1640" w:header="0" w:footer="1378" w:gutter="0"/>
          <w:pgNumType w:fmt="decimal"/>
          <w:cols w:space="720" w:num="1"/>
        </w:sectPr>
      </w:pPr>
      <w:r>
        <w:rPr>
          <w:spacing w:val="2"/>
        </w:rPr>
        <w:t>第六条 科技处是学校科研项目的业务主管部门，主要职</w:t>
      </w:r>
      <w:r>
        <w:rPr>
          <w:spacing w:val="2"/>
          <w:w w:val="95"/>
        </w:rPr>
        <w:t>责：制定全校科研经费预算，组织指导科研项目立项及论证、 预算编制和审核；科研项目库建设管理，对科研项目预算执行</w:t>
      </w:r>
      <w:r>
        <w:rPr>
          <w:rFonts w:hint="eastAsia"/>
          <w:spacing w:val="2"/>
          <w:w w:val="95"/>
          <w:lang w:val="en-US" w:eastAsia="zh-CN"/>
        </w:rPr>
        <w:t>情</w:t>
      </w:r>
    </w:p>
    <w:p w14:paraId="3A7AE409">
      <w:pPr>
        <w:pStyle w:val="3"/>
        <w:spacing w:before="69" w:line="326" w:lineRule="auto"/>
        <w:ind w:left="0" w:leftChars="0" w:right="258" w:firstLine="0" w:firstLineChars="0"/>
      </w:pPr>
      <w:r>
        <w:rPr>
          <w:w w:val="95"/>
        </w:rPr>
        <w:t>况进行监督和绩效评价，推动科研成果应用。协助有关部门</w:t>
      </w:r>
      <w:r>
        <w:t>做好绩效评价和经费审计工作。</w:t>
      </w:r>
    </w:p>
    <w:p w14:paraId="265B9441">
      <w:pPr>
        <w:pStyle w:val="3"/>
        <w:spacing w:before="4" w:line="328" w:lineRule="auto"/>
        <w:ind w:right="258" w:firstLine="640"/>
        <w:jc w:val="both"/>
      </w:pPr>
      <w:r>
        <w:rPr>
          <w:spacing w:val="-12"/>
        </w:rPr>
        <w:t>第七条 计划财务处负责科研经费管理。主要职责：科研项</w:t>
      </w:r>
      <w:r>
        <w:rPr>
          <w:spacing w:val="-12"/>
          <w:w w:val="95"/>
        </w:rPr>
        <w:t>目预算管理，审核年度科研经费预决算，对资金使用和管理情况进行核算、监督和指导，指导科研项目的绩效评价。协助项</w:t>
      </w:r>
      <w:r>
        <w:rPr>
          <w:spacing w:val="-12"/>
        </w:rPr>
        <w:t>目负责人结项审计。</w:t>
      </w:r>
    </w:p>
    <w:p w14:paraId="36160675">
      <w:pPr>
        <w:pStyle w:val="3"/>
        <w:spacing w:line="326" w:lineRule="auto"/>
        <w:ind w:right="258" w:firstLine="640"/>
        <w:jc w:val="both"/>
      </w:pPr>
      <w:r>
        <w:rPr>
          <w:w w:val="95"/>
        </w:rPr>
        <w:t xml:space="preserve">资产处负责组织实施科研经费开展的政府采购业务。凡使 用科研项目经费购置或形成的固定资产、无形资产，均属于学 </w:t>
      </w:r>
      <w:r>
        <w:t>校资产，纳入学校资产统一管理。</w:t>
      </w:r>
    </w:p>
    <w:p w14:paraId="4AB9F474">
      <w:pPr>
        <w:pStyle w:val="3"/>
        <w:spacing w:before="2" w:line="326" w:lineRule="auto"/>
        <w:ind w:right="99" w:firstLine="640"/>
      </w:pPr>
      <w:r>
        <w:t>审计处负责科研经费的审计和监督。按照要求，定期或不</w:t>
      </w:r>
      <w:r>
        <w:rPr>
          <w:spacing w:val="-9"/>
          <w:w w:val="95"/>
        </w:rPr>
        <w:t xml:space="preserve">定期对科研经费的使用与管理进行审计，开展必要的结项审计， </w:t>
      </w:r>
      <w:r>
        <w:rPr>
          <w:spacing w:val="-9"/>
        </w:rPr>
        <w:t>确保经费使用合规、合理。</w:t>
      </w:r>
    </w:p>
    <w:p w14:paraId="2A160016">
      <w:pPr>
        <w:pStyle w:val="3"/>
        <w:tabs>
          <w:tab w:val="left" w:pos="4479"/>
        </w:tabs>
        <w:spacing w:before="7"/>
        <w:ind w:left="3200"/>
        <w:rPr>
          <w:rFonts w:hint="eastAsia" w:ascii="黑体" w:eastAsia="黑体"/>
        </w:rPr>
      </w:pPr>
      <w:r>
        <w:rPr>
          <w:rFonts w:hint="eastAsia" w:ascii="黑体" w:eastAsia="黑体"/>
        </w:rPr>
        <w:t>第三章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支出范围</w:t>
      </w:r>
    </w:p>
    <w:p w14:paraId="04EAE7A0">
      <w:pPr>
        <w:pStyle w:val="3"/>
        <w:spacing w:before="149" w:line="328" w:lineRule="auto"/>
        <w:ind w:right="258" w:firstLine="640"/>
        <w:jc w:val="both"/>
      </w:pPr>
      <w:r>
        <w:rPr>
          <w:spacing w:val="2"/>
        </w:rPr>
        <w:t>第八条 科研经费支出是指在项目组织实施过程中与研究</w:t>
      </w:r>
      <w:r>
        <w:rPr>
          <w:spacing w:val="2"/>
          <w:w w:val="95"/>
        </w:rPr>
        <w:t xml:space="preserve">活动相关、由项目资金作为来源的各项费用支出，分为直接费 </w:t>
      </w:r>
      <w:r>
        <w:rPr>
          <w:spacing w:val="2"/>
        </w:rPr>
        <w:t>用和间接费用。</w:t>
      </w:r>
    </w:p>
    <w:p w14:paraId="48B89D64">
      <w:pPr>
        <w:pStyle w:val="3"/>
        <w:spacing w:line="326" w:lineRule="auto"/>
        <w:ind w:right="260" w:firstLine="640"/>
        <w:jc w:val="both"/>
      </w:pPr>
      <w:r>
        <w:t>第九条 直接费用是指在项目实施过程中发生的与之直接相关的费用。包括：</w:t>
      </w:r>
    </w:p>
    <w:p w14:paraId="225EA5D6">
      <w:pPr>
        <w:pStyle w:val="3"/>
        <w:spacing w:before="1" w:line="326" w:lineRule="auto"/>
        <w:ind w:right="258" w:firstLine="640"/>
        <w:jc w:val="both"/>
      </w:pPr>
      <w:r>
        <w:rPr>
          <w:w w:val="95"/>
        </w:rPr>
        <w:t xml:space="preserve">（一）设备费：在项目实施过程中，购置或试制专用仪器 </w:t>
      </w:r>
      <w:r>
        <w:rPr>
          <w:spacing w:val="-14"/>
          <w:w w:val="95"/>
        </w:rPr>
        <w:t xml:space="preserve">设备，购置计算类仪器设备、软件工具等,对现有仪器设备进行 </w:t>
      </w:r>
      <w:r>
        <w:rPr>
          <w:spacing w:val="-14"/>
        </w:rPr>
        <w:t>升级改造的相关费用。</w:t>
      </w:r>
    </w:p>
    <w:p w14:paraId="268436EC">
      <w:pPr>
        <w:pStyle w:val="3"/>
        <w:spacing w:before="7"/>
        <w:ind w:left="800"/>
      </w:pPr>
      <w:r>
        <w:t>（二）设备租赁费：租赁使用外单位仪器设备而发生的相</w:t>
      </w:r>
    </w:p>
    <w:p w14:paraId="7BF60EE2">
      <w:pPr>
        <w:spacing w:after="0"/>
        <w:sectPr>
          <w:pgSz w:w="12240" w:h="15840"/>
          <w:pgMar w:top="1500" w:right="1540" w:bottom="1560" w:left="1640" w:header="0" w:footer="1378" w:gutter="0"/>
          <w:pgNumType w:fmt="decimal"/>
          <w:cols w:space="720" w:num="1"/>
        </w:sectPr>
      </w:pPr>
    </w:p>
    <w:p w14:paraId="193517DB">
      <w:pPr>
        <w:pStyle w:val="3"/>
        <w:spacing w:before="69"/>
      </w:pPr>
      <w:r>
        <w:t>关费用。</w:t>
      </w:r>
    </w:p>
    <w:p w14:paraId="31F1151F">
      <w:pPr>
        <w:pStyle w:val="3"/>
        <w:spacing w:before="150" w:line="326" w:lineRule="auto"/>
        <w:ind w:right="258" w:firstLine="640"/>
      </w:pPr>
      <w:r>
        <w:rPr>
          <w:w w:val="95"/>
        </w:rPr>
        <w:t xml:space="preserve">（三）材料费：在项目实施过程中，消耗的各种原材料、 </w:t>
      </w:r>
      <w:r>
        <w:t>辅助材料等低值易耗品的采购、运输、装卸、整理等费用。</w:t>
      </w:r>
    </w:p>
    <w:p w14:paraId="6A6173AA">
      <w:pPr>
        <w:pStyle w:val="3"/>
        <w:spacing w:before="5" w:line="326" w:lineRule="auto"/>
        <w:ind w:right="258" w:firstLine="640"/>
      </w:pPr>
      <w:r>
        <w:rPr>
          <w:w w:val="95"/>
        </w:rPr>
        <w:t>（四）测试化验加工费：在项目实施过程中，由于承担单 位自身的技术、工艺和设备等条件限制，委托或与外单位合作</w:t>
      </w:r>
    </w:p>
    <w:p w14:paraId="376E40CC">
      <w:pPr>
        <w:pStyle w:val="3"/>
        <w:spacing w:before="3" w:line="328" w:lineRule="auto"/>
        <w:ind w:right="258"/>
      </w:pPr>
      <w:r>
        <w:rPr>
          <w:w w:val="95"/>
        </w:rPr>
        <w:t xml:space="preserve">（包括承担单位内部独立经济核算单位）进行的检验、测试化 </w:t>
      </w:r>
      <w:r>
        <w:t>验加工、计算、试验、设计、制作等支付的费用。</w:t>
      </w:r>
    </w:p>
    <w:p w14:paraId="7DBCA5B3">
      <w:pPr>
        <w:pStyle w:val="3"/>
        <w:spacing w:line="328" w:lineRule="auto"/>
        <w:ind w:right="99" w:firstLine="640"/>
      </w:pPr>
      <w:r>
        <w:t>（五）燃料动力费：在项目实施过程中，相关大型仪器设</w:t>
      </w:r>
      <w:r>
        <w:rPr>
          <w:spacing w:val="-14"/>
          <w:w w:val="95"/>
        </w:rPr>
        <w:t xml:space="preserve">备、专用科学装置等运行发生的，可以单独计量的水、电、气、 </w:t>
      </w:r>
      <w:r>
        <w:rPr>
          <w:spacing w:val="-14"/>
        </w:rPr>
        <w:t>燃料消耗等费用。</w:t>
      </w:r>
    </w:p>
    <w:p w14:paraId="7A3476B1">
      <w:pPr>
        <w:pStyle w:val="3"/>
        <w:spacing w:line="328" w:lineRule="auto"/>
        <w:ind w:right="99" w:firstLine="640"/>
      </w:pPr>
      <w:r>
        <w:rPr>
          <w:w w:val="95"/>
        </w:rPr>
        <w:t>（六</w:t>
      </w:r>
      <w:r>
        <w:rPr>
          <w:spacing w:val="-79"/>
          <w:w w:val="95"/>
        </w:rPr>
        <w:t>）</w:t>
      </w:r>
      <w:r>
        <w:rPr>
          <w:spacing w:val="-18"/>
          <w:w w:val="95"/>
        </w:rPr>
        <w:t>差旅费：在项目实施过程中，开展科学实验</w:t>
      </w:r>
      <w:r>
        <w:rPr>
          <w:w w:val="95"/>
        </w:rPr>
        <w:t>（试验</w:t>
      </w:r>
      <w:r>
        <w:rPr>
          <w:spacing w:val="-161"/>
          <w:w w:val="95"/>
        </w:rPr>
        <w:t>）</w:t>
      </w:r>
      <w:r>
        <w:rPr>
          <w:w w:val="95"/>
        </w:rPr>
        <w:t xml:space="preserve">、 </w:t>
      </w:r>
      <w:r>
        <w:t>科学考察、业务调研、学术交流等发生的城市间交通费、住宿</w:t>
      </w:r>
      <w:r>
        <w:rPr>
          <w:rFonts w:hint="eastAsia"/>
          <w:lang w:val="en-US" w:eastAsia="zh-CN"/>
        </w:rPr>
        <w:t>费</w:t>
      </w:r>
      <w:r>
        <w:t>、伙食补助费和市内交通费等。</w:t>
      </w:r>
    </w:p>
    <w:p w14:paraId="1E5CC59F">
      <w:pPr>
        <w:pStyle w:val="3"/>
        <w:spacing w:line="328" w:lineRule="auto"/>
        <w:ind w:right="99" w:firstLine="640"/>
      </w:pPr>
      <w:r>
        <w:rPr>
          <w:w w:val="95"/>
        </w:rPr>
        <w:t>（七</w:t>
      </w:r>
      <w:r>
        <w:rPr>
          <w:spacing w:val="-53"/>
          <w:w w:val="95"/>
        </w:rPr>
        <w:t>）</w:t>
      </w:r>
      <w:r>
        <w:rPr>
          <w:spacing w:val="-12"/>
          <w:w w:val="95"/>
        </w:rPr>
        <w:t xml:space="preserve">会议费：在项目实施过程中，为组织开展学术研讨、 </w:t>
      </w:r>
      <w:r>
        <w:rPr>
          <w:spacing w:val="-12"/>
        </w:rPr>
        <w:t>咨询论证，以及组织协调项目或课题研究等活动发生的会议费用。</w:t>
      </w:r>
    </w:p>
    <w:p w14:paraId="7E66C59D">
      <w:pPr>
        <w:pStyle w:val="3"/>
        <w:spacing w:line="393" w:lineRule="exact"/>
        <w:ind w:left="800"/>
      </w:pPr>
      <w:r>
        <w:t>（八）国际合作交流费：在项目实施过程中，研究人员出</w:t>
      </w:r>
    </w:p>
    <w:p w14:paraId="3D70FBC3">
      <w:pPr>
        <w:pStyle w:val="3"/>
        <w:spacing w:before="149"/>
      </w:pPr>
      <w:r>
        <w:t>国及外国专家来华开展科学技术交流与合作的费用。</w:t>
      </w:r>
    </w:p>
    <w:p w14:paraId="57BB55AB">
      <w:pPr>
        <w:pStyle w:val="3"/>
        <w:spacing w:before="152" w:line="328" w:lineRule="auto"/>
        <w:ind w:right="258" w:firstLine="640"/>
        <w:jc w:val="both"/>
      </w:pPr>
      <w:r>
        <w:rPr>
          <w:w w:val="95"/>
        </w:rPr>
        <w:t xml:space="preserve">（九）档案/出版/文献/信息传播/知识产权事务费：在项 目实施过程中，需要支付的出版费、资料及印刷费、图书费、文献检索费、专业通信费、专利申请及其他知识产权事务等费 </w:t>
      </w:r>
      <w:r>
        <w:t>用。</w:t>
      </w:r>
    </w:p>
    <w:p w14:paraId="74B28DE5">
      <w:pPr>
        <w:spacing w:after="0" w:line="328" w:lineRule="auto"/>
        <w:jc w:val="both"/>
        <w:sectPr>
          <w:pgSz w:w="12240" w:h="15840"/>
          <w:pgMar w:top="1500" w:right="1540" w:bottom="1560" w:left="1640" w:header="0" w:footer="1378" w:gutter="0"/>
          <w:pgNumType w:fmt="decimal"/>
          <w:cols w:space="720" w:num="1"/>
        </w:sectPr>
      </w:pPr>
    </w:p>
    <w:p w14:paraId="3D68AEDE">
      <w:pPr>
        <w:pStyle w:val="3"/>
        <w:spacing w:before="69" w:line="326" w:lineRule="auto"/>
        <w:ind w:right="258" w:firstLine="640"/>
        <w:jc w:val="both"/>
      </w:pPr>
      <w:r>
        <w:rPr>
          <w:w w:val="95"/>
        </w:rPr>
        <w:t xml:space="preserve">（十）数据采集费：在项目研究过程中，开展问卷调查、 野外调查、数据购买、数据分析及相应技术服务购买等支出的 </w:t>
      </w:r>
      <w:r>
        <w:t>费用。</w:t>
      </w:r>
    </w:p>
    <w:p w14:paraId="4AFA9BC0">
      <w:pPr>
        <w:pStyle w:val="3"/>
        <w:spacing w:before="8" w:line="328" w:lineRule="auto"/>
        <w:ind w:right="258" w:firstLine="640"/>
        <w:jc w:val="both"/>
      </w:pPr>
      <w:r>
        <w:rPr>
          <w:w w:val="95"/>
        </w:rPr>
        <w:t>（十一）劳务费：在项目研究过程中，支付给参与项目研 究的研究生、博士后、访问学者和项目聘用的研究人员、科研辅助人员及本专科生等的劳务费用。财政科研项目临时聘用人</w:t>
      </w:r>
      <w:r>
        <w:t>员的社会保险补助纳入劳务费科目列支。</w:t>
      </w:r>
    </w:p>
    <w:p w14:paraId="3E49322D">
      <w:pPr>
        <w:pStyle w:val="3"/>
        <w:spacing w:line="328" w:lineRule="auto"/>
        <w:ind w:right="258" w:firstLine="640"/>
        <w:jc w:val="both"/>
      </w:pPr>
      <w:r>
        <w:rPr>
          <w:w w:val="95"/>
        </w:rPr>
        <w:t>（十二）专家咨询费：在项目实施过程中，支付给临时聘 请的咨询专家的费用。财政科研项目咨询费由项目负责人按照项目研究实际需要编制，不得支付给参与科研项目研究、管理</w:t>
      </w:r>
      <w:r>
        <w:t>的工作人员及本单位人员。</w:t>
      </w:r>
    </w:p>
    <w:p w14:paraId="2DC81767">
      <w:pPr>
        <w:pStyle w:val="3"/>
        <w:spacing w:line="328" w:lineRule="auto"/>
        <w:ind w:right="258" w:firstLine="640"/>
        <w:jc w:val="both"/>
      </w:pPr>
      <w:r>
        <w:rPr>
          <w:w w:val="95"/>
        </w:rPr>
        <w:t xml:space="preserve">（十三）其他费用：指财政科研项目实施过程中除上述支 出费用之外的其他支出，包括北京地区交通费、邮寄费、学术 </w:t>
      </w:r>
      <w:r>
        <w:t>交流产生的会务费等，应在申请预算时单独列出。</w:t>
      </w:r>
    </w:p>
    <w:p w14:paraId="5DCCC84F">
      <w:pPr>
        <w:pStyle w:val="3"/>
        <w:spacing w:line="328" w:lineRule="auto"/>
        <w:ind w:right="258" w:firstLine="640"/>
        <w:jc w:val="both"/>
      </w:pPr>
      <w:r>
        <w:rPr>
          <w:spacing w:val="2"/>
        </w:rPr>
        <w:t>第十条 间接费用是指竞争性财政科研项目经费中无法在</w:t>
      </w:r>
      <w:r>
        <w:rPr>
          <w:spacing w:val="-16"/>
          <w:w w:val="95"/>
        </w:rPr>
        <w:t>直接费用中列支的相关费用，主要是指纵向课题的绩效支出</w:t>
      </w:r>
      <w:r>
        <w:rPr>
          <w:w w:val="95"/>
        </w:rPr>
        <w:t>（为 提高科研工作绩效安排的相关支出</w:t>
      </w:r>
      <w:r>
        <w:rPr>
          <w:spacing w:val="-119"/>
          <w:w w:val="95"/>
        </w:rPr>
        <w:t>）</w:t>
      </w:r>
      <w:r>
        <w:rPr>
          <w:spacing w:val="-19"/>
          <w:w w:val="95"/>
        </w:rPr>
        <w:t>，仅用于项目组成员。只有 国家、北京市或项目委托方有明确规定或约定，可以支出间接费用的科研项目，方可计提间接费用。计提间接费用额度，需负责人在项目预算申请中足额编列，间接费用预算不可调整。</w:t>
      </w:r>
    </w:p>
    <w:p w14:paraId="7472743C">
      <w:pPr>
        <w:pStyle w:val="3"/>
        <w:tabs>
          <w:tab w:val="left" w:pos="3839"/>
        </w:tabs>
        <w:spacing w:line="400" w:lineRule="exact"/>
        <w:ind w:left="2560"/>
        <w:rPr>
          <w:rFonts w:hint="eastAsia" w:ascii="黑体" w:eastAsia="黑体"/>
        </w:rPr>
      </w:pPr>
      <w:r>
        <w:rPr>
          <w:rFonts w:hint="eastAsia" w:ascii="黑体" w:eastAsia="黑体"/>
        </w:rPr>
        <w:t>第四章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纵向项目经费管理</w:t>
      </w:r>
    </w:p>
    <w:p w14:paraId="17630B51">
      <w:pPr>
        <w:pStyle w:val="3"/>
        <w:spacing w:before="131"/>
        <w:ind w:left="800"/>
      </w:pPr>
      <w:r>
        <w:t>第十一条 预算编制原则</w:t>
      </w:r>
    </w:p>
    <w:p w14:paraId="71600973">
      <w:pPr>
        <w:spacing w:after="0"/>
        <w:sectPr>
          <w:pgSz w:w="12240" w:h="15840"/>
          <w:pgMar w:top="1500" w:right="1540" w:bottom="1560" w:left="1640" w:header="0" w:footer="1378" w:gutter="0"/>
          <w:pgNumType w:fmt="decimal"/>
          <w:cols w:space="720" w:num="1"/>
        </w:sectPr>
      </w:pPr>
    </w:p>
    <w:p w14:paraId="13E1214E">
      <w:pPr>
        <w:pStyle w:val="3"/>
        <w:spacing w:before="69" w:line="326" w:lineRule="auto"/>
        <w:ind w:right="258" w:firstLine="640"/>
        <w:jc w:val="both"/>
      </w:pPr>
      <w:r>
        <w:rPr>
          <w:w w:val="95"/>
        </w:rPr>
        <w:t xml:space="preserve">（一）严格遵守目标相关性、政策相符性、经济合理性和 </w:t>
      </w:r>
      <w:r>
        <w:t>任务完成的可行性原则。</w:t>
      </w:r>
    </w:p>
    <w:p w14:paraId="65F6FD19">
      <w:pPr>
        <w:pStyle w:val="3"/>
        <w:spacing w:before="4" w:line="328" w:lineRule="auto"/>
        <w:ind w:right="258" w:firstLine="640"/>
        <w:jc w:val="both"/>
      </w:pPr>
      <w:r>
        <w:rPr>
          <w:w w:val="95"/>
        </w:rPr>
        <w:t>（二）需编制收入预算与支出预算。收入预算指同一项目 的不同渠道获得的经费，包括市财政经费、单位自筹资金和其他来源资金。支出预算按照开支范围确定的支出科目和经费来</w:t>
      </w:r>
      <w:r>
        <w:t>源编列。</w:t>
      </w:r>
    </w:p>
    <w:p w14:paraId="55EB1085">
      <w:pPr>
        <w:pStyle w:val="3"/>
        <w:spacing w:line="405" w:lineRule="exact"/>
        <w:ind w:left="800"/>
      </w:pPr>
      <w:r>
        <w:t>第十二条 预算编制要求</w:t>
      </w:r>
    </w:p>
    <w:p w14:paraId="46EBBEF2">
      <w:pPr>
        <w:pStyle w:val="3"/>
        <w:spacing w:before="149" w:line="328" w:lineRule="auto"/>
        <w:ind w:right="99" w:firstLine="640"/>
      </w:pPr>
      <w:r>
        <w:t>（一）预算编制：只编制一级费用科目，不需提供过细的测算依据。但设备费、测试化验加工费、会议费、国际合作交流费等主要支出内容要有明确预算数，需提供相关性、必要性说明及测算方法、测算依据，委托或与外单位合作等外拨费用</w:t>
      </w:r>
      <w:r>
        <w:rPr>
          <w:spacing w:val="-7"/>
        </w:rPr>
        <w:t xml:space="preserve">原则上不超过课题总经费的 </w:t>
      </w:r>
      <w:r>
        <w:t>50</w:t>
      </w:r>
      <w:r>
        <w:rPr>
          <w:spacing w:val="-10"/>
        </w:rPr>
        <w:t>%。根据财务业务科目分类要求， 设备租赁费、专用软件购置费需在预算中单独列出。</w:t>
      </w:r>
    </w:p>
    <w:p w14:paraId="4A45AF48">
      <w:pPr>
        <w:pStyle w:val="3"/>
        <w:spacing w:line="328" w:lineRule="auto"/>
        <w:ind w:right="258" w:firstLine="640"/>
        <w:jc w:val="both"/>
      </w:pPr>
      <w:r>
        <w:rPr>
          <w:w w:val="95"/>
        </w:rPr>
        <w:t xml:space="preserve">（二）差旅费：学校科研差旅费实行总额控制。项目组成 员（包括校外人员）乘坐交通工具等级、住宿费标准，根据学 </w:t>
      </w:r>
      <w:r>
        <w:t>校有关规定执行。</w:t>
      </w:r>
    </w:p>
    <w:p w14:paraId="249644D1">
      <w:pPr>
        <w:pStyle w:val="3"/>
        <w:spacing w:line="328" w:lineRule="auto"/>
        <w:ind w:right="258" w:firstLine="640"/>
        <w:jc w:val="both"/>
      </w:pPr>
      <w:r>
        <w:rPr>
          <w:w w:val="95"/>
        </w:rPr>
        <w:t xml:space="preserve">（三）会议费：应与科研项目具有相关性。主办学术类会 </w:t>
      </w:r>
      <w:r>
        <w:rPr>
          <w:spacing w:val="-10"/>
          <w:w w:val="95"/>
        </w:rPr>
        <w:t>议参照《北京市市级党政机关事业单位会议费管理办法</w:t>
      </w:r>
      <w:r>
        <w:rPr>
          <w:spacing w:val="-240"/>
          <w:w w:val="95"/>
        </w:rPr>
        <w:t>》</w:t>
      </w:r>
      <w:r>
        <w:rPr>
          <w:w w:val="95"/>
        </w:rPr>
        <w:t>（京财</w:t>
      </w:r>
      <w:r>
        <w:rPr>
          <w:spacing w:val="-12"/>
          <w:w w:val="99"/>
        </w:rPr>
        <w:t>预</w:t>
      </w:r>
      <w:r>
        <w:rPr>
          <w:w w:val="99"/>
        </w:rPr>
        <w:t>〔</w:t>
      </w:r>
      <w:r>
        <w:rPr>
          <w:spacing w:val="0"/>
          <w:w w:val="99"/>
        </w:rPr>
        <w:t>20</w:t>
      </w:r>
      <w:r>
        <w:rPr>
          <w:spacing w:val="-2"/>
          <w:w w:val="99"/>
        </w:rPr>
        <w:t>17</w:t>
      </w:r>
      <w:r>
        <w:rPr>
          <w:spacing w:val="-12"/>
          <w:w w:val="99"/>
        </w:rPr>
        <w:t>〕</w:t>
      </w:r>
      <w:r>
        <w:rPr>
          <w:w w:val="99"/>
        </w:rPr>
        <w:t>1</w:t>
      </w:r>
      <w:r>
        <w:rPr>
          <w:spacing w:val="-80"/>
        </w:rPr>
        <w:t xml:space="preserve"> </w:t>
      </w:r>
      <w:r>
        <w:rPr>
          <w:spacing w:val="1"/>
          <w:w w:val="99"/>
        </w:rPr>
        <w:t>号</w:t>
      </w:r>
      <w:r>
        <w:rPr>
          <w:spacing w:val="-161"/>
          <w:w w:val="99"/>
        </w:rPr>
        <w:t>）</w:t>
      </w:r>
      <w:r>
        <w:rPr>
          <w:spacing w:val="-7"/>
          <w:w w:val="99"/>
        </w:rPr>
        <w:t>，会议次数、天数、参会人数、特邀代表人数</w:t>
      </w:r>
      <w:r>
        <w:t>等</w:t>
      </w:r>
      <w:r>
        <w:rPr>
          <w:spacing w:val="-5"/>
        </w:rPr>
        <w:t xml:space="preserve">应按照学术活动实际情况确定，会期一般不超 </w:t>
      </w:r>
      <w:r>
        <w:t>3</w:t>
      </w:r>
      <w:r>
        <w:rPr>
          <w:spacing w:val="-15"/>
        </w:rPr>
        <w:t xml:space="preserve"> 天；开支范</w:t>
      </w:r>
      <w:r>
        <w:rPr>
          <w:w w:val="95"/>
        </w:rPr>
        <w:t xml:space="preserve">围包括住宿费、伙食费、会议室租金、交通费、印刷费等，综 </w:t>
      </w:r>
      <w:r>
        <w:t>合</w:t>
      </w:r>
      <w:r>
        <w:rPr>
          <w:spacing w:val="-15"/>
        </w:rPr>
        <w:t xml:space="preserve">定额控制在 </w:t>
      </w:r>
      <w:r>
        <w:t>550</w:t>
      </w:r>
      <w:r>
        <w:rPr>
          <w:spacing w:val="-43"/>
        </w:rPr>
        <w:t xml:space="preserve"> 元</w:t>
      </w:r>
      <w:r>
        <w:rPr>
          <w:spacing w:val="-13"/>
        </w:rPr>
        <w:t>/（</w:t>
      </w:r>
      <w:r>
        <w:t>人</w:t>
      </w:r>
      <w:r>
        <w:rPr>
          <w:spacing w:val="-27"/>
        </w:rPr>
        <w:t>·</w:t>
      </w:r>
      <w:r>
        <w:t>天</w:t>
      </w:r>
      <w:r>
        <w:rPr>
          <w:spacing w:val="-159"/>
        </w:rPr>
        <w:t>）</w:t>
      </w:r>
      <w:r>
        <w:rPr>
          <w:spacing w:val="-24"/>
        </w:rPr>
        <w:t>。</w:t>
      </w:r>
      <w:r>
        <w:t>10</w:t>
      </w:r>
      <w:r>
        <w:rPr>
          <w:spacing w:val="-10"/>
        </w:rPr>
        <w:t xml:space="preserve"> 人以内且无外地代表的学</w:t>
      </w:r>
    </w:p>
    <w:p w14:paraId="58599DAE">
      <w:pPr>
        <w:spacing w:after="0" w:line="328" w:lineRule="auto"/>
        <w:jc w:val="both"/>
        <w:sectPr>
          <w:pgSz w:w="12240" w:h="15840"/>
          <w:pgMar w:top="1500" w:right="1540" w:bottom="1560" w:left="1640" w:header="0" w:footer="1378" w:gutter="0"/>
          <w:pgNumType w:fmt="decimal"/>
          <w:cols w:space="720" w:num="1"/>
        </w:sectPr>
      </w:pPr>
    </w:p>
    <w:p w14:paraId="58D079E0">
      <w:pPr>
        <w:pStyle w:val="3"/>
        <w:spacing w:before="69" w:line="326" w:lineRule="auto"/>
        <w:ind w:right="258"/>
        <w:jc w:val="both"/>
      </w:pPr>
      <w:r>
        <w:rPr>
          <w:w w:val="95"/>
        </w:rPr>
        <w:t xml:space="preserve">术会议，原则上在校内会议室召开。因特殊事由确需在外地举办会议或其他特殊情况，提交相关说明经科技处审核后提交分 </w:t>
      </w:r>
      <w:r>
        <w:t>管校领导批准。</w:t>
      </w:r>
    </w:p>
    <w:p w14:paraId="4FB8A63A">
      <w:pPr>
        <w:pStyle w:val="3"/>
        <w:spacing w:before="8" w:line="328" w:lineRule="auto"/>
        <w:ind w:right="258" w:firstLine="640"/>
        <w:jc w:val="both"/>
      </w:pPr>
      <w:r>
        <w:rPr>
          <w:w w:val="95"/>
        </w:rPr>
        <w:t xml:space="preserve">（四）国际合作交流费：国际合作交流必须与科研项目具 </w:t>
      </w:r>
      <w:r>
        <w:rPr>
          <w:spacing w:val="-11"/>
          <w:w w:val="95"/>
        </w:rPr>
        <w:t>有相关性，且只适用于项目组成员出国</w:t>
      </w:r>
      <w:r>
        <w:rPr>
          <w:w w:val="95"/>
        </w:rPr>
        <w:t>（境</w:t>
      </w:r>
      <w:r>
        <w:rPr>
          <w:spacing w:val="-106"/>
          <w:w w:val="95"/>
        </w:rPr>
        <w:t>）</w:t>
      </w:r>
      <w:r>
        <w:rPr>
          <w:spacing w:val="-15"/>
          <w:w w:val="95"/>
        </w:rPr>
        <w:t xml:space="preserve">，以及外国专家来 华、港澳台专家来内地开展学术合作与交流，项目相关经费审 批流程及标准按照国家、北京市及我校有关制度进行管理。原 </w:t>
      </w:r>
      <w:r>
        <w:rPr>
          <w:spacing w:val="-24"/>
        </w:rPr>
        <w:t xml:space="preserve">则上总经费低于 </w:t>
      </w:r>
      <w:r>
        <w:t>10</w:t>
      </w:r>
      <w:r>
        <w:rPr>
          <w:spacing w:val="-10"/>
        </w:rPr>
        <w:t xml:space="preserve"> 万元的科研项目不列支国际合作交流费。</w:t>
      </w:r>
    </w:p>
    <w:p w14:paraId="3EDCDB42">
      <w:pPr>
        <w:pStyle w:val="3"/>
        <w:spacing w:line="328" w:lineRule="auto"/>
        <w:ind w:right="258" w:firstLine="640"/>
        <w:jc w:val="both"/>
      </w:pPr>
      <w:r>
        <w:rPr>
          <w:w w:val="95"/>
        </w:rPr>
        <w:t xml:space="preserve">（五）劳务费：项目聘用人员的劳务费开支标准，参照北 京市科学研究和技术服务业人员平均工资水平，根据其在项目中承担的工作任务确定，社会保险补助费可纳入劳务费科目列 支。财政供养人员不得列支劳务费。单一项目在校学生劳务费 </w:t>
      </w:r>
      <w:r>
        <w:rPr>
          <w:spacing w:val="-14"/>
        </w:rPr>
        <w:t xml:space="preserve">每人最多计 </w:t>
      </w:r>
      <w:r>
        <w:t>10</w:t>
      </w:r>
      <w:r>
        <w:rPr>
          <w:spacing w:val="-19"/>
        </w:rPr>
        <w:t xml:space="preserve"> 个月，本科及以下每人每月不超过 </w:t>
      </w:r>
      <w:r>
        <w:t>0.1</w:t>
      </w:r>
      <w:r>
        <w:rPr>
          <w:spacing w:val="-33"/>
        </w:rPr>
        <w:t xml:space="preserve"> 万元，硕</w:t>
      </w:r>
    </w:p>
    <w:p w14:paraId="3B4F8C45">
      <w:pPr>
        <w:pStyle w:val="3"/>
        <w:spacing w:line="402" w:lineRule="exact"/>
      </w:pPr>
      <w:r>
        <w:rPr>
          <w:spacing w:val="-10"/>
        </w:rPr>
        <w:t xml:space="preserve">士每人每月不超过 </w:t>
      </w:r>
      <w:r>
        <w:t>0.2</w:t>
      </w:r>
      <w:r>
        <w:rPr>
          <w:spacing w:val="-16"/>
        </w:rPr>
        <w:t xml:space="preserve"> 万元，博士每人每月不超过 </w:t>
      </w:r>
      <w:r>
        <w:t>0.5</w:t>
      </w:r>
      <w:r>
        <w:rPr>
          <w:spacing w:val="-21"/>
        </w:rPr>
        <w:t xml:space="preserve"> 万元。</w:t>
      </w:r>
    </w:p>
    <w:p w14:paraId="68C7F280">
      <w:pPr>
        <w:pStyle w:val="3"/>
        <w:spacing w:before="139" w:line="328" w:lineRule="auto"/>
        <w:ind w:right="258" w:firstLine="640"/>
        <w:jc w:val="both"/>
      </w:pPr>
      <w:r>
        <w:rPr>
          <w:w w:val="95"/>
        </w:rPr>
        <w:t xml:space="preserve">（六）专家咨询费：结合项目级别、业务量、难易程度及 专家职称和影响力等情况确定咨询费额度。专家咨询费支付标 </w:t>
      </w:r>
      <w:r>
        <w:rPr>
          <w:spacing w:val="10"/>
        </w:rPr>
        <w:t>准参照《中央财政科研项目专家咨询费管理办法》</w:t>
      </w:r>
      <w:r>
        <w:rPr>
          <w:spacing w:val="17"/>
        </w:rPr>
        <w:t>（</w:t>
      </w:r>
      <w:r>
        <w:rPr>
          <w:spacing w:val="10"/>
        </w:rPr>
        <w:t>财科教</w:t>
      </w:r>
    </w:p>
    <w:p w14:paraId="2B20B28F">
      <w:pPr>
        <w:pStyle w:val="3"/>
        <w:spacing w:line="405" w:lineRule="exact"/>
      </w:pPr>
      <w:r>
        <w:t>〔2017</w:t>
      </w:r>
      <w:r>
        <w:rPr>
          <w:spacing w:val="-39"/>
        </w:rPr>
        <w:t>〕</w:t>
      </w:r>
      <w:r>
        <w:t>128</w:t>
      </w:r>
      <w:r>
        <w:rPr>
          <w:spacing w:val="-44"/>
        </w:rPr>
        <w:t xml:space="preserve"> 号</w:t>
      </w:r>
      <w:r>
        <w:rPr>
          <w:spacing w:val="-159"/>
        </w:rPr>
        <w:t>）</w:t>
      </w:r>
      <w:r>
        <w:rPr>
          <w:spacing w:val="-15"/>
        </w:rPr>
        <w:t>、《北京市党政机关事业单位培训费管理办法》</w:t>
      </w:r>
    </w:p>
    <w:p w14:paraId="43001679">
      <w:pPr>
        <w:pStyle w:val="3"/>
        <w:spacing w:before="151" w:line="326" w:lineRule="auto"/>
        <w:ind w:right="258"/>
        <w:jc w:val="both"/>
      </w:pPr>
      <w:r>
        <w:t>（</w:t>
      </w:r>
      <w:r>
        <w:rPr>
          <w:spacing w:val="-4"/>
        </w:rPr>
        <w:t>京财预〔</w:t>
      </w:r>
      <w:r>
        <w:t>2017</w:t>
      </w:r>
      <w:r>
        <w:rPr>
          <w:spacing w:val="-17"/>
        </w:rPr>
        <w:t>〕</w:t>
      </w:r>
      <w:r>
        <w:t>1389</w:t>
      </w:r>
      <w:r>
        <w:rPr>
          <w:spacing w:val="-46"/>
        </w:rPr>
        <w:t xml:space="preserve"> 号</w:t>
      </w:r>
      <w:r>
        <w:rPr>
          <w:spacing w:val="-17"/>
        </w:rPr>
        <w:t>）</w:t>
      </w:r>
      <w:r>
        <w:rPr>
          <w:spacing w:val="-5"/>
        </w:rPr>
        <w:t>执行。课题负责人要对真实性、合</w:t>
      </w:r>
      <w:r>
        <w:rPr>
          <w:spacing w:val="-5"/>
          <w:w w:val="95"/>
        </w:rPr>
        <w:t>规性和咨询工作的质与量负责，不得支付给参与科研项目研究</w:t>
      </w:r>
      <w:r>
        <w:rPr>
          <w:spacing w:val="-5"/>
        </w:rPr>
        <w:t>及管理的相关工作人员。</w:t>
      </w:r>
    </w:p>
    <w:p w14:paraId="31F41807">
      <w:pPr>
        <w:pStyle w:val="3"/>
        <w:spacing w:before="8"/>
        <w:ind w:left="800"/>
      </w:pPr>
      <w:r>
        <w:t>（七）档案/出版/文献/信息传播/知识产权事务费：在具</w:t>
      </w:r>
    </w:p>
    <w:p w14:paraId="75E7553C">
      <w:pPr>
        <w:spacing w:after="0"/>
        <w:sectPr>
          <w:pgSz w:w="12240" w:h="15840"/>
          <w:pgMar w:top="1500" w:right="1540" w:bottom="1560" w:left="1640" w:header="0" w:footer="1378" w:gutter="0"/>
          <w:pgNumType w:fmt="decimal"/>
          <w:cols w:space="720" w:num="1"/>
        </w:sectPr>
      </w:pPr>
    </w:p>
    <w:p w14:paraId="21E151F2">
      <w:pPr>
        <w:pStyle w:val="3"/>
        <w:spacing w:before="69" w:line="328" w:lineRule="auto"/>
        <w:ind w:right="258"/>
        <w:jc w:val="both"/>
      </w:pPr>
      <w:r>
        <w:rPr>
          <w:w w:val="95"/>
        </w:rPr>
        <w:t>有国际影响力的国内科技期刊论文（参照“中国科技期刊卓越</w:t>
      </w:r>
      <w:r>
        <w:rPr>
          <w:spacing w:val="-9"/>
          <w:w w:val="95"/>
        </w:rPr>
        <w:t>行动计划”入选期刊目录</w:t>
      </w:r>
      <w:r>
        <w:rPr>
          <w:spacing w:val="-159"/>
          <w:w w:val="95"/>
        </w:rPr>
        <w:t>）</w:t>
      </w:r>
      <w:r>
        <w:rPr>
          <w:spacing w:val="-10"/>
          <w:w w:val="95"/>
        </w:rPr>
        <w:t>、业界公认的国际顶级或重要科技期</w:t>
      </w:r>
      <w:r>
        <w:rPr>
          <w:spacing w:val="-20"/>
        </w:rPr>
        <w:t xml:space="preserve">刊的论文，发表费不超过 </w:t>
      </w:r>
      <w:r>
        <w:t>1.5</w:t>
      </w:r>
      <w:r>
        <w:rPr>
          <w:spacing w:val="-30"/>
        </w:rPr>
        <w:t xml:space="preserve"> 万元</w:t>
      </w:r>
      <w:r>
        <w:t>/</w:t>
      </w:r>
      <w:r>
        <w:rPr>
          <w:spacing w:val="-10"/>
        </w:rPr>
        <w:t>篇；在国内外顶级学术会议</w:t>
      </w:r>
      <w:r>
        <w:rPr>
          <w:spacing w:val="10"/>
        </w:rPr>
        <w:t>上进行报告的论文</w:t>
      </w:r>
      <w:r>
        <w:rPr>
          <w:spacing w:val="12"/>
        </w:rPr>
        <w:t>（</w:t>
      </w:r>
      <w:r>
        <w:rPr>
          <w:spacing w:val="10"/>
        </w:rPr>
        <w:t>国内顶级会议指国家一级学会组织的会</w:t>
      </w:r>
      <w:r>
        <w:rPr>
          <w:spacing w:val="10"/>
          <w:w w:val="99"/>
        </w:rPr>
        <w:t>议</w:t>
      </w:r>
      <w:r>
        <w:rPr>
          <w:spacing w:val="-159"/>
          <w:w w:val="99"/>
        </w:rPr>
        <w:t>）</w:t>
      </w:r>
      <w:r>
        <w:rPr>
          <w:w w:val="99"/>
        </w:rPr>
        <w:t>，发表费不超过</w:t>
      </w:r>
      <w:r>
        <w:rPr>
          <w:spacing w:val="-79"/>
        </w:rPr>
        <w:t xml:space="preserve"> </w:t>
      </w:r>
      <w:r>
        <w:rPr>
          <w:spacing w:val="0"/>
          <w:w w:val="99"/>
        </w:rPr>
        <w:t>0</w:t>
      </w:r>
      <w:r>
        <w:rPr>
          <w:spacing w:val="-2"/>
          <w:w w:val="99"/>
        </w:rPr>
        <w:t>.</w:t>
      </w:r>
      <w:r>
        <w:rPr>
          <w:w w:val="99"/>
        </w:rPr>
        <w:t>6</w:t>
      </w:r>
      <w:r>
        <w:rPr>
          <w:spacing w:val="-80"/>
        </w:rPr>
        <w:t xml:space="preserve"> </w:t>
      </w:r>
      <w:r>
        <w:rPr>
          <w:w w:val="99"/>
        </w:rPr>
        <w:t>万元</w:t>
      </w:r>
      <w:r>
        <w:rPr>
          <w:spacing w:val="-2"/>
          <w:w w:val="99"/>
        </w:rPr>
        <w:t>/</w:t>
      </w:r>
      <w:r>
        <w:rPr>
          <w:w w:val="99"/>
        </w:rPr>
        <w:t>篇；在</w:t>
      </w:r>
      <w:r>
        <w:rPr>
          <w:spacing w:val="-79"/>
        </w:rPr>
        <w:t xml:space="preserve"> </w:t>
      </w:r>
      <w:r>
        <w:rPr>
          <w:spacing w:val="0"/>
          <w:w w:val="99"/>
        </w:rPr>
        <w:t>C</w:t>
      </w:r>
      <w:r>
        <w:rPr>
          <w:spacing w:val="-2"/>
          <w:w w:val="99"/>
        </w:rPr>
        <w:t>S</w:t>
      </w:r>
      <w:r>
        <w:rPr>
          <w:spacing w:val="0"/>
          <w:w w:val="99"/>
        </w:rPr>
        <w:t>SC</w:t>
      </w:r>
      <w:r>
        <w:rPr>
          <w:spacing w:val="-2"/>
          <w:w w:val="99"/>
        </w:rPr>
        <w:t>I</w:t>
      </w:r>
      <w:r>
        <w:rPr>
          <w:w w:val="99"/>
        </w:rPr>
        <w:t>、</w:t>
      </w:r>
      <w:r>
        <w:rPr>
          <w:spacing w:val="0"/>
          <w:w w:val="99"/>
        </w:rPr>
        <w:t>CS</w:t>
      </w:r>
      <w:r>
        <w:rPr>
          <w:spacing w:val="-2"/>
          <w:w w:val="99"/>
        </w:rPr>
        <w:t>C</w:t>
      </w:r>
      <w:r>
        <w:rPr>
          <w:w w:val="99"/>
        </w:rPr>
        <w:t>D</w:t>
      </w:r>
      <w:r>
        <w:rPr>
          <w:spacing w:val="-80"/>
        </w:rPr>
        <w:t xml:space="preserve"> </w:t>
      </w:r>
      <w:r>
        <w:rPr>
          <w:w w:val="99"/>
        </w:rPr>
        <w:t>收录的期刊</w:t>
      </w:r>
    </w:p>
    <w:p w14:paraId="76E099F6">
      <w:pPr>
        <w:pStyle w:val="3"/>
        <w:spacing w:line="328" w:lineRule="auto"/>
        <w:ind w:right="99"/>
      </w:pPr>
      <w:r>
        <w:rPr>
          <w:w w:val="95"/>
        </w:rPr>
        <w:t>（</w:t>
      </w:r>
      <w:r>
        <w:rPr>
          <w:spacing w:val="-18"/>
          <w:w w:val="95"/>
        </w:rPr>
        <w:t xml:space="preserve">或同级别期刊)发表的学术论文、在《中文核心期刊要目总览》 </w:t>
      </w:r>
      <w:r>
        <w:rPr>
          <w:spacing w:val="-22"/>
        </w:rPr>
        <w:t xml:space="preserve">收录期刊发表的学术论文，发表费不超过 </w:t>
      </w:r>
      <w:r>
        <w:t>0.5</w:t>
      </w:r>
      <w:r>
        <w:rPr>
          <w:spacing w:val="-28"/>
        </w:rPr>
        <w:t xml:space="preserve"> 万元</w:t>
      </w:r>
      <w:r>
        <w:t>/</w:t>
      </w:r>
      <w:r>
        <w:rPr>
          <w:spacing w:val="-17"/>
        </w:rPr>
        <w:t>篇；一般期</w:t>
      </w:r>
    </w:p>
    <w:p w14:paraId="36D99C98">
      <w:pPr>
        <w:pStyle w:val="3"/>
        <w:spacing w:line="407" w:lineRule="exact"/>
      </w:pPr>
      <w:r>
        <w:rPr>
          <w:spacing w:val="-9"/>
        </w:rPr>
        <w:t xml:space="preserve">刊论文发表费不超过 </w:t>
      </w:r>
      <w:r>
        <w:t>0.1</w:t>
      </w:r>
      <w:r>
        <w:rPr>
          <w:spacing w:val="-29"/>
        </w:rPr>
        <w:t xml:space="preserve"> 万元</w:t>
      </w:r>
      <w:r>
        <w:t>/</w:t>
      </w:r>
      <w:r>
        <w:rPr>
          <w:spacing w:val="-14"/>
        </w:rPr>
        <w:t>篇。每个发明专利代理费用不超</w:t>
      </w:r>
    </w:p>
    <w:p w14:paraId="6F16CC7A">
      <w:pPr>
        <w:pStyle w:val="3"/>
        <w:spacing w:before="140"/>
      </w:pPr>
      <w:r>
        <w:rPr>
          <w:spacing w:val="-42"/>
        </w:rPr>
        <w:t xml:space="preserve">过 </w:t>
      </w:r>
      <w:r>
        <w:t>0.6</w:t>
      </w:r>
      <w:r>
        <w:rPr>
          <w:spacing w:val="-15"/>
        </w:rPr>
        <w:t xml:space="preserve"> 万元，实用新型专利代理费用不超过 </w:t>
      </w:r>
      <w:r>
        <w:t>0.3</w:t>
      </w:r>
      <w:r>
        <w:rPr>
          <w:spacing w:val="-13"/>
        </w:rPr>
        <w:t xml:space="preserve"> 万元，专利年</w:t>
      </w:r>
    </w:p>
    <w:p w14:paraId="235D38C4">
      <w:pPr>
        <w:pStyle w:val="3"/>
        <w:spacing w:before="151" w:line="326" w:lineRule="auto"/>
        <w:ind w:right="258"/>
      </w:pPr>
      <w:r>
        <w:rPr>
          <w:spacing w:val="-9"/>
        </w:rPr>
        <w:t xml:space="preserve">费资助原则上不超过 </w:t>
      </w:r>
      <w:r>
        <w:t>3</w:t>
      </w:r>
      <w:r>
        <w:rPr>
          <w:spacing w:val="-15"/>
        </w:rPr>
        <w:t xml:space="preserve"> 年。每本著作出版费用不超过 </w:t>
      </w:r>
      <w:r>
        <w:t>5</w:t>
      </w:r>
      <w:r>
        <w:rPr>
          <w:spacing w:val="-21"/>
        </w:rPr>
        <w:t xml:space="preserve"> 万元， 需事前审批，控制出版成本。</w:t>
      </w:r>
    </w:p>
    <w:p w14:paraId="251B8EBE">
      <w:pPr>
        <w:pStyle w:val="3"/>
        <w:spacing w:before="3" w:line="328" w:lineRule="auto"/>
        <w:ind w:right="258" w:firstLine="640"/>
        <w:jc w:val="both"/>
      </w:pPr>
      <w:r>
        <w:rPr>
          <w:w w:val="95"/>
        </w:rPr>
        <w:t>（八）税费及其他费用：北京地区交通费、邮寄费和参加 各类会议发生的会议费、会务费、注册费、与项目相关的培训</w:t>
      </w:r>
      <w:r>
        <w:rPr>
          <w:spacing w:val="-14"/>
        </w:rPr>
        <w:t xml:space="preserve">费等其他费用，不超过直接费用的 </w:t>
      </w:r>
      <w:r>
        <w:rPr>
          <w:spacing w:val="-12"/>
        </w:rPr>
        <w:t>10%（1.5</w:t>
      </w:r>
      <w:r>
        <w:rPr>
          <w:spacing w:val="-11"/>
        </w:rPr>
        <w:t xml:space="preserve"> 万元及以下的项目</w:t>
      </w:r>
      <w:r>
        <w:rPr>
          <w:spacing w:val="-4"/>
          <w:w w:val="99"/>
        </w:rPr>
        <w:t>不超过</w:t>
      </w:r>
      <w:r>
        <w:rPr>
          <w:spacing w:val="-81"/>
        </w:rPr>
        <w:t xml:space="preserve"> </w:t>
      </w:r>
      <w:r>
        <w:rPr>
          <w:spacing w:val="0"/>
          <w:w w:val="99"/>
        </w:rPr>
        <w:t>15</w:t>
      </w:r>
      <w:r>
        <w:rPr>
          <w:spacing w:val="-2"/>
          <w:w w:val="99"/>
        </w:rPr>
        <w:t>%</w:t>
      </w:r>
      <w:r>
        <w:rPr>
          <w:spacing w:val="-159"/>
          <w:w w:val="99"/>
        </w:rPr>
        <w:t>）</w:t>
      </w:r>
      <w:r>
        <w:rPr>
          <w:w w:val="99"/>
        </w:rPr>
        <w:t>。</w:t>
      </w:r>
    </w:p>
    <w:p w14:paraId="1517B707">
      <w:pPr>
        <w:pStyle w:val="3"/>
        <w:spacing w:line="326" w:lineRule="auto"/>
        <w:ind w:right="258" w:firstLine="640"/>
        <w:jc w:val="both"/>
      </w:pPr>
      <w:r>
        <w:rPr>
          <w:w w:val="95"/>
        </w:rPr>
        <w:t xml:space="preserve">所有费用需开具发票，根据国家相关规定，必须足额编列 </w:t>
      </w:r>
      <w:r>
        <w:t>税费预算。</w:t>
      </w:r>
    </w:p>
    <w:p w14:paraId="05BEB837">
      <w:pPr>
        <w:pStyle w:val="3"/>
        <w:spacing w:line="328" w:lineRule="auto"/>
        <w:ind w:right="258" w:firstLine="640"/>
        <w:jc w:val="both"/>
      </w:pPr>
      <w:r>
        <w:rPr>
          <w:w w:val="95"/>
        </w:rPr>
        <w:t>（九）间接费用：对于允许支出间接费用的项目实行总额 控制。科技类项目按不超过项目经费中直接费用扣除设备购置</w:t>
      </w:r>
      <w:r>
        <w:rPr>
          <w:spacing w:val="-20"/>
        </w:rPr>
        <w:t xml:space="preserve">费后的 </w:t>
      </w:r>
      <w:r>
        <w:t>20%核定，社科类项目按不超过项目支出总额一定的比例核定。具体比例：50</w:t>
      </w:r>
      <w:r>
        <w:rPr>
          <w:spacing w:val="-19"/>
        </w:rPr>
        <w:t xml:space="preserve"> 万元及以下部分为 </w:t>
      </w:r>
      <w:r>
        <w:t>30%，50</w:t>
      </w:r>
      <w:r>
        <w:rPr>
          <w:spacing w:val="-34"/>
        </w:rPr>
        <w:t xml:space="preserve"> 万元至 </w:t>
      </w:r>
      <w:r>
        <w:t xml:space="preserve">500 </w:t>
      </w:r>
      <w:r>
        <w:rPr>
          <w:spacing w:val="-14"/>
        </w:rPr>
        <w:t xml:space="preserve">万元部分为 </w:t>
      </w:r>
      <w:r>
        <w:t>20%。间接费用中的绩效支出不得超过间接费用的</w:t>
      </w:r>
    </w:p>
    <w:p w14:paraId="7F6BA1F8">
      <w:pPr>
        <w:spacing w:after="0" w:line="328" w:lineRule="auto"/>
        <w:jc w:val="both"/>
        <w:sectPr>
          <w:pgSz w:w="12240" w:h="15840"/>
          <w:pgMar w:top="1500" w:right="1540" w:bottom="1560" w:left="1640" w:header="0" w:footer="1378" w:gutter="0"/>
          <w:pgNumType w:fmt="decimal"/>
          <w:cols w:space="720" w:num="1"/>
        </w:sectPr>
      </w:pPr>
    </w:p>
    <w:p w14:paraId="73C60635">
      <w:pPr>
        <w:pStyle w:val="3"/>
        <w:spacing w:before="69"/>
      </w:pPr>
      <w:r>
        <w:t>比例，严禁超额提取、变相提取和重复提取。</w:t>
      </w:r>
    </w:p>
    <w:p w14:paraId="40FE343C">
      <w:pPr>
        <w:pStyle w:val="3"/>
        <w:spacing w:before="150"/>
        <w:ind w:left="800"/>
      </w:pPr>
      <w:r>
        <w:t>第十三条 预算评审</w:t>
      </w:r>
    </w:p>
    <w:p w14:paraId="2B092401">
      <w:pPr>
        <w:pStyle w:val="3"/>
        <w:spacing w:before="149" w:line="328" w:lineRule="auto"/>
        <w:ind w:right="258" w:firstLine="640"/>
        <w:jc w:val="both"/>
      </w:pPr>
      <w:r>
        <w:rPr>
          <w:w w:val="95"/>
        </w:rPr>
        <w:t xml:space="preserve">项目预算评审与实施方案论证合二为一，专家组需对经费 预算提出评审意见，保证其相对独立性。科研项目应按要求参 </w:t>
      </w:r>
      <w:r>
        <w:t>加预算评审，属下列范围之一的项目可不参加：</w:t>
      </w:r>
    </w:p>
    <w:p w14:paraId="7AE08108">
      <w:pPr>
        <w:pStyle w:val="3"/>
        <w:spacing w:line="405" w:lineRule="exact"/>
        <w:ind w:left="800"/>
      </w:pPr>
      <w:r>
        <w:t>（一）由科研主管单位组织预算评审的项目；</w:t>
      </w:r>
    </w:p>
    <w:p w14:paraId="5BC080A5">
      <w:pPr>
        <w:pStyle w:val="3"/>
        <w:spacing w:before="151" w:line="326" w:lineRule="auto"/>
        <w:ind w:right="258" w:firstLine="640"/>
      </w:pPr>
      <w:r>
        <w:rPr>
          <w:w w:val="95"/>
        </w:rPr>
        <w:t>（二）政策法规已明确补助标准、范围等定额方式，已制</w:t>
      </w:r>
      <w:r>
        <w:t>定相关经费管理办法，并经有关部门审查通过的项目；</w:t>
      </w:r>
    </w:p>
    <w:p w14:paraId="45F20299">
      <w:pPr>
        <w:pStyle w:val="3"/>
        <w:spacing w:before="4"/>
        <w:ind w:left="800"/>
      </w:pPr>
      <w:r>
        <w:rPr>
          <w:w w:val="95"/>
        </w:rPr>
        <w:t>（三）按有关规定其他可不参加预算评审的项目。</w:t>
      </w:r>
    </w:p>
    <w:p w14:paraId="024A66D2">
      <w:pPr>
        <w:pStyle w:val="3"/>
        <w:spacing w:before="151"/>
        <w:ind w:left="800"/>
      </w:pPr>
      <w:r>
        <w:t>第十四条 预算调整</w:t>
      </w:r>
    </w:p>
    <w:p w14:paraId="61D1DF1E">
      <w:pPr>
        <w:pStyle w:val="3"/>
        <w:spacing w:before="150"/>
        <w:ind w:left="800"/>
      </w:pPr>
      <w:r>
        <w:t>（一）科研项目总预算原则上不得调整。</w:t>
      </w:r>
    </w:p>
    <w:p w14:paraId="0968590D">
      <w:pPr>
        <w:pStyle w:val="3"/>
        <w:spacing w:before="149" w:line="328" w:lineRule="auto"/>
        <w:ind w:right="99" w:firstLine="640"/>
      </w:pPr>
      <w:r>
        <w:rPr>
          <w:w w:val="95"/>
        </w:rPr>
        <w:t>（二</w:t>
      </w:r>
      <w:r>
        <w:rPr>
          <w:spacing w:val="-79"/>
          <w:w w:val="95"/>
        </w:rPr>
        <w:t>）</w:t>
      </w:r>
      <w:r>
        <w:rPr>
          <w:spacing w:val="-6"/>
          <w:w w:val="95"/>
        </w:rPr>
        <w:t xml:space="preserve">校立项目预算调整由学校科技处、计划财务处核准。 </w:t>
      </w:r>
      <w:r>
        <w:rPr>
          <w:spacing w:val="-6"/>
        </w:rPr>
        <w:t>在保持项目总预算不变、满足限定性条件的情况下，材料费、</w:t>
      </w:r>
      <w:r>
        <w:rPr>
          <w:spacing w:val="-15"/>
        </w:rPr>
        <w:t>测试化验加工费、燃料动力费、出版</w:t>
      </w:r>
      <w:r>
        <w:t>/文献/信息传播/知识产权事务费等费用，项目负责人可根据需要进行调整；差旅费一般不予调增，会议费、国际合作交流费原则上不予调整；专家咨询费、劳务费原则上不予调增，可相互调整。上述调整均需填</w:t>
      </w:r>
      <w:r>
        <w:rPr>
          <w:spacing w:val="-12"/>
          <w:w w:val="95"/>
        </w:rPr>
        <w:t xml:space="preserve">写《科研项目预算调整审批表》，经项目所在部门负责人审核， </w:t>
      </w:r>
      <w:r>
        <w:rPr>
          <w:spacing w:val="-12"/>
        </w:rPr>
        <w:t>并给出明确的审核意见后报科技处，科技处审批、计划财务处同意后，方可实施。结项时（验收）需提供项目预算调整审批清单。预算调整采用统一上报的方式，原则上每年十月份调整一次。</w:t>
      </w:r>
    </w:p>
    <w:p w14:paraId="568DB279">
      <w:pPr>
        <w:spacing w:after="0" w:line="328" w:lineRule="auto"/>
        <w:sectPr>
          <w:footerReference r:id="rId7" w:type="default"/>
          <w:footerReference r:id="rId8" w:type="even"/>
          <w:pgSz w:w="12240" w:h="15840"/>
          <w:pgMar w:top="1500" w:right="1540" w:bottom="1560" w:left="1640" w:header="0" w:footer="1378" w:gutter="0"/>
          <w:pgNumType w:fmt="decimal" w:start="10"/>
          <w:cols w:space="720" w:num="1"/>
        </w:sectPr>
      </w:pPr>
    </w:p>
    <w:p w14:paraId="2C7B1480">
      <w:pPr>
        <w:pStyle w:val="3"/>
        <w:spacing w:before="69"/>
        <w:ind w:left="800"/>
      </w:pPr>
      <w:r>
        <w:t>（三</w:t>
      </w:r>
      <w:r>
        <w:rPr>
          <w:spacing w:val="-159"/>
        </w:rPr>
        <w:t>）</w:t>
      </w:r>
      <w:r>
        <w:t>校外纵向项目预算调整按照相关项目管理办法进行。</w:t>
      </w:r>
    </w:p>
    <w:p w14:paraId="51D3D458">
      <w:pPr>
        <w:pStyle w:val="3"/>
        <w:spacing w:before="150"/>
        <w:ind w:left="800"/>
      </w:pPr>
      <w:r>
        <w:t>第十五条 经费使用</w:t>
      </w:r>
    </w:p>
    <w:p w14:paraId="4583B065">
      <w:pPr>
        <w:pStyle w:val="3"/>
        <w:spacing w:before="149"/>
        <w:ind w:left="800"/>
      </w:pPr>
      <w:r>
        <w:t>（一</w:t>
      </w:r>
      <w:r>
        <w:rPr>
          <w:spacing w:val="-79"/>
        </w:rPr>
        <w:t>）</w:t>
      </w:r>
      <w:r>
        <w:rPr>
          <w:spacing w:val="-9"/>
        </w:rPr>
        <w:t>经费核算。不同来源的项目经费分别进行单独核算。</w:t>
      </w:r>
    </w:p>
    <w:p w14:paraId="031BE8B1">
      <w:pPr>
        <w:pStyle w:val="3"/>
        <w:spacing w:before="151" w:line="328" w:lineRule="auto"/>
        <w:ind w:right="258" w:firstLine="640"/>
        <w:jc w:val="both"/>
      </w:pPr>
      <w:r>
        <w:rPr>
          <w:w w:val="95"/>
        </w:rPr>
        <w:t xml:space="preserve">（二）结算方式。科研经费支出实行公务卡结算制度，按 学校有关规定执行。因科研活动实际需要，邀请国（境）内外专家、学者和有关人员参加学术交流活动，对确需负担的城市 </w:t>
      </w:r>
      <w:r>
        <w:t>间交通费、国际旅费及住宿费，可在会议费等费用中报销。</w:t>
      </w:r>
    </w:p>
    <w:p w14:paraId="6B08EE36">
      <w:pPr>
        <w:pStyle w:val="3"/>
        <w:spacing w:line="402" w:lineRule="exact"/>
        <w:ind w:left="800"/>
      </w:pPr>
      <w:r>
        <w:t>（三）涉及政府采购的，要严格执行政府采购相关规定。</w:t>
      </w:r>
    </w:p>
    <w:p w14:paraId="365BE59F">
      <w:pPr>
        <w:pStyle w:val="3"/>
        <w:spacing w:before="150" w:line="328" w:lineRule="auto"/>
        <w:ind w:right="258" w:firstLine="640"/>
        <w:jc w:val="both"/>
      </w:pPr>
      <w:r>
        <w:rPr>
          <w:w w:val="95"/>
        </w:rPr>
        <w:t xml:space="preserve">（四）严格控制设备购置。科研经费形成的大型科学仪器 设备、科学数据、自然科技资源等，所有权及使用权原则上归 </w:t>
      </w:r>
      <w:r>
        <w:t>学校，合同另有约定的，遵照合同执行。</w:t>
      </w:r>
    </w:p>
    <w:p w14:paraId="227C9358">
      <w:pPr>
        <w:pStyle w:val="3"/>
        <w:spacing w:line="328" w:lineRule="auto"/>
        <w:ind w:right="99" w:firstLine="640"/>
      </w:pPr>
      <w:r>
        <w:t>（五）设备采购、租赁、测试化验加工费使用，原则上要</w:t>
      </w:r>
      <w:r>
        <w:rPr>
          <w:spacing w:val="-11"/>
          <w:w w:val="95"/>
        </w:rPr>
        <w:t xml:space="preserve">充分利用校内实验实训场地、设备。实施前，需进行专家论证， </w:t>
      </w:r>
      <w:r>
        <w:rPr>
          <w:spacing w:val="-11"/>
        </w:rPr>
        <w:t>经项目所在二级单位负责人审批，科技处长审核。立项时要提供论证报告。</w:t>
      </w:r>
    </w:p>
    <w:p w14:paraId="6DC86CA8">
      <w:pPr>
        <w:pStyle w:val="3"/>
        <w:spacing w:line="328" w:lineRule="auto"/>
        <w:ind w:right="258" w:firstLine="640"/>
        <w:jc w:val="both"/>
      </w:pPr>
      <w:r>
        <w:rPr>
          <w:w w:val="95"/>
        </w:rPr>
        <w:t>（六）材料费使用按照《北京工业职业技术学院财务报销 细则》中有关规定执行。报销实验材料用品等各种实物支出， 提供的发票应载明商品名称、数量、单价、金额等详细信息。</w:t>
      </w:r>
      <w:r>
        <w:t>如直接领用，还需提供领用人签字的领用单。2</w:t>
      </w:r>
      <w:r>
        <w:rPr>
          <w:spacing w:val="-12"/>
        </w:rPr>
        <w:t xml:space="preserve"> 万元及以上还需提供采购合同。</w:t>
      </w:r>
    </w:p>
    <w:p w14:paraId="2630CD84">
      <w:pPr>
        <w:pStyle w:val="3"/>
        <w:spacing w:line="328" w:lineRule="auto"/>
        <w:ind w:right="258" w:firstLine="640"/>
      </w:pPr>
      <w:r>
        <w:rPr>
          <w:w w:val="95"/>
        </w:rPr>
        <w:t>（七）严格控制人员经费使用，项目负责人对相关人员为项目工作的数量、质量等与所付酬金的一致性、真实性负责。</w:t>
      </w:r>
    </w:p>
    <w:p w14:paraId="2314DC57">
      <w:pPr>
        <w:spacing w:after="0" w:line="328" w:lineRule="auto"/>
        <w:sectPr>
          <w:pgSz w:w="12240" w:h="15840"/>
          <w:pgMar w:top="1500" w:right="1540" w:bottom="1560" w:left="1640" w:header="0" w:footer="1378" w:gutter="0"/>
          <w:pgNumType w:fmt="decimal"/>
          <w:cols w:space="720" w:num="1"/>
        </w:sectPr>
      </w:pPr>
    </w:p>
    <w:p w14:paraId="69E21D3C">
      <w:pPr>
        <w:pStyle w:val="3"/>
        <w:spacing w:before="69" w:line="326" w:lineRule="auto"/>
        <w:ind w:right="258"/>
        <w:jc w:val="both"/>
      </w:pPr>
      <w:r>
        <w:rPr>
          <w:w w:val="95"/>
        </w:rPr>
        <w:t>项目负责人应建立聘用人员的工作单位、职称、工作形式、聘用时间、工作内容等信息台账，必要时提供相关证明材料，并</w:t>
      </w:r>
      <w:r>
        <w:t>对内容的真实性负责。</w:t>
      </w:r>
    </w:p>
    <w:p w14:paraId="14327929">
      <w:pPr>
        <w:pStyle w:val="3"/>
        <w:spacing w:before="8" w:line="328" w:lineRule="auto"/>
        <w:ind w:right="258" w:firstLine="640"/>
        <w:jc w:val="both"/>
      </w:pPr>
      <w:r>
        <w:rPr>
          <w:w w:val="95"/>
        </w:rPr>
        <w:t xml:space="preserve">（八）会议按照简洁高效、厉行节约的原则，尽量安排在 校内，如校内场地无法满足，应提出申请（注明会议天数、人 </w:t>
      </w:r>
      <w:r>
        <w:rPr>
          <w:spacing w:val="-8"/>
          <w:w w:val="95"/>
        </w:rPr>
        <w:t>员、经费标准及开支范围</w:t>
      </w:r>
      <w:r>
        <w:rPr>
          <w:spacing w:val="-106"/>
          <w:w w:val="95"/>
        </w:rPr>
        <w:t>）</w:t>
      </w:r>
      <w:r>
        <w:rPr>
          <w:spacing w:val="-14"/>
          <w:w w:val="95"/>
        </w:rPr>
        <w:t xml:space="preserve">，待项目所在部门、科技处审批后方 </w:t>
      </w:r>
      <w:r>
        <w:rPr>
          <w:spacing w:val="-14"/>
        </w:rPr>
        <w:t>可实施。项目负责人应保留会议资料，作为备案依据。</w:t>
      </w:r>
    </w:p>
    <w:p w14:paraId="0B1C6507">
      <w:pPr>
        <w:pStyle w:val="3"/>
        <w:spacing w:line="326" w:lineRule="auto"/>
        <w:ind w:right="258" w:firstLine="640"/>
      </w:pPr>
      <w:r>
        <w:rPr>
          <w:w w:val="95"/>
        </w:rPr>
        <w:t>（九）项目组聘请的校外人员，根据项目需要进行出差、</w:t>
      </w:r>
      <w:r>
        <w:t>参加学术会议时，交通费和住宿费按规定标准据实报销。</w:t>
      </w:r>
    </w:p>
    <w:p w14:paraId="03D0E348">
      <w:pPr>
        <w:pStyle w:val="3"/>
        <w:spacing w:line="326" w:lineRule="auto"/>
        <w:ind w:right="258" w:firstLine="640"/>
      </w:pPr>
      <w:r>
        <w:rPr>
          <w:w w:val="95"/>
        </w:rPr>
        <w:t>（十）项目经费相关的税务处理，参照国家和北京市有关</w:t>
      </w:r>
      <w:r>
        <w:t>规定执行。</w:t>
      </w:r>
    </w:p>
    <w:p w14:paraId="69FCE81C">
      <w:pPr>
        <w:pStyle w:val="3"/>
        <w:spacing w:before="1" w:line="328" w:lineRule="auto"/>
        <w:ind w:right="99" w:firstLine="640"/>
      </w:pPr>
      <w:r>
        <w:t>（十一）落实基本科研业务费和竞争性科研经费的分类管</w:t>
      </w:r>
      <w:r>
        <w:rPr>
          <w:spacing w:val="-13"/>
          <w:w w:val="95"/>
        </w:rPr>
        <w:t xml:space="preserve">理要求。根据学校实际，结合立项程序和经费资助渠道的差异， </w:t>
      </w:r>
      <w:r>
        <w:rPr>
          <w:spacing w:val="-13"/>
        </w:rPr>
        <w:t>纵向经费暂分为基本科研业务费资助项目（简称“校立科研项</w:t>
      </w:r>
      <w:r>
        <w:rPr>
          <w:spacing w:val="-56"/>
        </w:rPr>
        <w:t>目”</w:t>
      </w:r>
      <w:r>
        <w:rPr>
          <w:spacing w:val="-99"/>
        </w:rPr>
        <w:t>）</w:t>
      </w:r>
      <w:r>
        <w:rPr>
          <w:spacing w:val="-5"/>
        </w:rPr>
        <w:t>和竞争性校外纵向项目</w:t>
      </w:r>
      <w:r>
        <w:t>（</w:t>
      </w:r>
      <w:r>
        <w:rPr>
          <w:spacing w:val="-23"/>
        </w:rPr>
        <w:t>简称“纵向竞争项目”</w:t>
      </w:r>
      <w:r>
        <w:rPr>
          <w:spacing w:val="-160"/>
        </w:rPr>
        <w:t>）</w:t>
      </w:r>
      <w:r>
        <w:rPr>
          <w:spacing w:val="-11"/>
        </w:rPr>
        <w:t>。校立科研项目（含市教委核准科研计划一般项目）按照北京市教委相关经费文件管理，纵向竞争项目执行立项单位发布的经费管理办法。</w:t>
      </w:r>
    </w:p>
    <w:p w14:paraId="0AA72913">
      <w:pPr>
        <w:pStyle w:val="3"/>
        <w:spacing w:line="400" w:lineRule="exact"/>
        <w:ind w:left="800"/>
      </w:pPr>
      <w:r>
        <w:t>第十六条 报销审批</w:t>
      </w:r>
    </w:p>
    <w:p w14:paraId="1CCD9609">
      <w:pPr>
        <w:pStyle w:val="3"/>
        <w:spacing w:before="149" w:line="326" w:lineRule="auto"/>
        <w:ind w:right="258" w:firstLine="640"/>
      </w:pPr>
      <w:r>
        <w:rPr>
          <w:w w:val="95"/>
        </w:rPr>
        <w:t xml:space="preserve">纵向经费支出实行项目负责人制和分级审批制度。校立科 </w:t>
      </w:r>
      <w:r>
        <w:t>研项目预算批复额度内经费支出的审批权限如下：</w:t>
      </w:r>
    </w:p>
    <w:p w14:paraId="4A0A82DA">
      <w:pPr>
        <w:pStyle w:val="3"/>
        <w:spacing w:before="6"/>
        <w:ind w:left="800"/>
      </w:pPr>
      <w:r>
        <w:t>（一）单笔支出≤0.5 万元，项目负责人签字报销，项目</w:t>
      </w:r>
    </w:p>
    <w:p w14:paraId="2CB757A8">
      <w:pPr>
        <w:spacing w:after="0"/>
        <w:sectPr>
          <w:pgSz w:w="12240" w:h="15840"/>
          <w:pgMar w:top="1500" w:right="1540" w:bottom="1560" w:left="1640" w:header="0" w:footer="1378" w:gutter="0"/>
          <w:pgNumType w:fmt="decimal"/>
          <w:cols w:space="720" w:num="1"/>
        </w:sectPr>
      </w:pPr>
    </w:p>
    <w:p w14:paraId="61ED2C77">
      <w:pPr>
        <w:pStyle w:val="3"/>
        <w:spacing w:before="69"/>
      </w:pPr>
      <w:r>
        <w:t>负责人为经手人时需经项目所属二级单位负责人签字报销。</w:t>
      </w:r>
    </w:p>
    <w:p w14:paraId="4D3A4F0B">
      <w:pPr>
        <w:pStyle w:val="3"/>
        <w:spacing w:before="150" w:line="326" w:lineRule="auto"/>
        <w:ind w:right="258" w:firstLine="640"/>
        <w:jc w:val="both"/>
      </w:pPr>
      <w:r>
        <w:t>（二）0.5</w:t>
      </w:r>
      <w:r>
        <w:rPr>
          <w:spacing w:val="-11"/>
        </w:rPr>
        <w:t xml:space="preserve"> 万元＜单笔支出≤</w:t>
      </w:r>
      <w:r>
        <w:t>3</w:t>
      </w:r>
      <w:r>
        <w:rPr>
          <w:spacing w:val="-12"/>
        </w:rPr>
        <w:t xml:space="preserve"> 万元，在履行第</w:t>
      </w:r>
      <w:r>
        <w:t>(1)款审批程序基础上，需项目所属二级单位负责人审批。</w:t>
      </w:r>
    </w:p>
    <w:p w14:paraId="7B1F72A1">
      <w:pPr>
        <w:pStyle w:val="3"/>
        <w:spacing w:before="5" w:line="326" w:lineRule="auto"/>
        <w:ind w:right="260" w:firstLine="640"/>
        <w:jc w:val="both"/>
      </w:pPr>
      <w:r>
        <w:t>（三）3</w:t>
      </w:r>
      <w:r>
        <w:rPr>
          <w:spacing w:val="-12"/>
        </w:rPr>
        <w:t xml:space="preserve"> 万元＜单笔支出</w:t>
      </w:r>
      <w:r>
        <w:t>≤5</w:t>
      </w:r>
      <w:r>
        <w:rPr>
          <w:spacing w:val="-10"/>
        </w:rPr>
        <w:t xml:space="preserve"> 万元，在履行本条第</w:t>
      </w:r>
      <w:r>
        <w:t>(2)款审批程序基础上，需经科技处处长审批。</w:t>
      </w:r>
    </w:p>
    <w:p w14:paraId="204E5606">
      <w:pPr>
        <w:pStyle w:val="3"/>
        <w:spacing w:before="3" w:line="328" w:lineRule="auto"/>
        <w:ind w:right="260" w:firstLine="640"/>
        <w:jc w:val="both"/>
      </w:pPr>
      <w:r>
        <w:t>（四</w:t>
      </w:r>
      <w:r>
        <w:rPr>
          <w:spacing w:val="-40"/>
        </w:rPr>
        <w:t>）5</w:t>
      </w:r>
      <w:r>
        <w:rPr>
          <w:spacing w:val="-12"/>
        </w:rPr>
        <w:t xml:space="preserve"> 万元＜单笔支出≤</w:t>
      </w:r>
      <w:r>
        <w:t>10</w:t>
      </w:r>
      <w:r>
        <w:rPr>
          <w:spacing w:val="-19"/>
        </w:rPr>
        <w:t xml:space="preserve"> 万元，在履行本条第</w:t>
      </w:r>
      <w:r>
        <w:t>(3)款审批程序基础上，需经主管科研校领导等负责人审批。</w:t>
      </w:r>
    </w:p>
    <w:p w14:paraId="597DDF80">
      <w:pPr>
        <w:pStyle w:val="3"/>
        <w:spacing w:line="326" w:lineRule="auto"/>
        <w:ind w:right="258" w:firstLine="640"/>
        <w:jc w:val="both"/>
      </w:pPr>
      <w:r>
        <w:t>（五）</w:t>
      </w:r>
      <w:r>
        <w:rPr>
          <w:spacing w:val="-18"/>
        </w:rPr>
        <w:t xml:space="preserve">单笔支出 </w:t>
      </w:r>
      <w:r>
        <w:t>10</w:t>
      </w:r>
      <w:r>
        <w:rPr>
          <w:spacing w:val="-10"/>
        </w:rPr>
        <w:t xml:space="preserve"> 万元以上，在履行本条第(</w:t>
      </w:r>
      <w:r>
        <w:t>4)款审批程序基础上，需经主管财务校领导审批。</w:t>
      </w:r>
    </w:p>
    <w:p w14:paraId="4DBDC27A">
      <w:pPr>
        <w:pStyle w:val="3"/>
        <w:spacing w:before="3" w:line="328" w:lineRule="auto"/>
        <w:ind w:right="258" w:firstLine="640"/>
        <w:jc w:val="right"/>
        <w:rPr>
          <w:w w:val="95"/>
        </w:rPr>
      </w:pPr>
      <w:r>
        <w:rPr>
          <w:w w:val="95"/>
        </w:rPr>
        <w:t>设备采购租赁、测试化验加工费、差旅费等实施前需进行 必要的论证或说明，实施前经项目所属二级单位负责人审核、 科</w:t>
      </w:r>
    </w:p>
    <w:p w14:paraId="659623F3">
      <w:pPr>
        <w:pStyle w:val="3"/>
        <w:spacing w:before="3" w:line="328" w:lineRule="auto"/>
        <w:ind w:right="258"/>
        <w:jc w:val="both"/>
        <w:rPr>
          <w:spacing w:val="-10"/>
          <w:w w:val="95"/>
        </w:rPr>
      </w:pPr>
      <w:r>
        <w:rPr>
          <w:w w:val="95"/>
        </w:rPr>
        <w:t xml:space="preserve">技处处长审批，同意后，方可实施。测试化验加工等委托业 </w:t>
      </w:r>
      <w:r>
        <w:rPr>
          <w:spacing w:val="-7"/>
        </w:rPr>
        <w:t xml:space="preserve">务需提供专家论证报告，金额 </w:t>
      </w:r>
      <w:r>
        <w:t>2</w:t>
      </w:r>
      <w:r>
        <w:rPr>
          <w:spacing w:val="-10"/>
        </w:rPr>
        <w:t xml:space="preserve"> 万元及以上需签订委托合同。</w:t>
      </w:r>
      <w:r>
        <w:rPr>
          <w:spacing w:val="-10"/>
          <w:w w:val="95"/>
        </w:rPr>
        <w:t>报销时需经项目所属二级单位负责人审核，科技处处长审批。 纵向竞</w:t>
      </w:r>
    </w:p>
    <w:p w14:paraId="2B5D846E">
      <w:pPr>
        <w:pStyle w:val="3"/>
        <w:spacing w:before="3" w:line="328" w:lineRule="auto"/>
        <w:ind w:right="258"/>
        <w:jc w:val="both"/>
      </w:pPr>
      <w:r>
        <w:rPr>
          <w:spacing w:val="-10"/>
          <w:w w:val="95"/>
        </w:rPr>
        <w:t>争项目的经费支出审批流程按照横向项目经费审批</w:t>
      </w:r>
      <w:r>
        <w:t>流程管理。</w:t>
      </w:r>
    </w:p>
    <w:p w14:paraId="200FB364">
      <w:pPr>
        <w:pStyle w:val="3"/>
        <w:spacing w:before="150"/>
        <w:ind w:left="800"/>
      </w:pPr>
      <w:r>
        <w:t>第十七条 纵向项目决算</w:t>
      </w:r>
    </w:p>
    <w:p w14:paraId="794E74CA">
      <w:pPr>
        <w:pStyle w:val="3"/>
        <w:spacing w:before="149" w:line="328" w:lineRule="auto"/>
        <w:ind w:right="258" w:firstLine="640"/>
        <w:jc w:val="both"/>
      </w:pPr>
      <w:r>
        <w:rPr>
          <w:w w:val="95"/>
        </w:rPr>
        <w:t>（一）项目负责人要按时完成科研项目经费支付，支付进 度是项目结项验收的重要条件。项目完成后，项目负责人应对科研经费进行结算，如实编制科研经费决算表，接受项目科技处或项目主管部门的检查。无决算表的项目不能结项。凡项目</w:t>
      </w:r>
      <w:r>
        <w:t>主管部门有审计要求的，项目组应做好各级各类审计工作。</w:t>
      </w:r>
    </w:p>
    <w:p w14:paraId="14A6F9EF">
      <w:pPr>
        <w:spacing w:after="0" w:line="328" w:lineRule="auto"/>
        <w:jc w:val="both"/>
        <w:sectPr>
          <w:pgSz w:w="12240" w:h="15840"/>
          <w:pgMar w:top="1500" w:right="1540" w:bottom="1560" w:left="1640" w:header="0" w:footer="1378" w:gutter="0"/>
          <w:pgNumType w:fmt="decimal"/>
          <w:cols w:space="720" w:num="1"/>
        </w:sectPr>
      </w:pPr>
    </w:p>
    <w:p w14:paraId="488564DC">
      <w:pPr>
        <w:pStyle w:val="3"/>
        <w:spacing w:before="69" w:line="328" w:lineRule="auto"/>
        <w:ind w:right="258" w:firstLine="640"/>
        <w:jc w:val="both"/>
      </w:pPr>
      <w:r>
        <w:rPr>
          <w:w w:val="95"/>
        </w:rPr>
        <w:t>（二）科研项目终止或未通过验收的，项目结余经费按照 上级主管部门的要求办理。对无正当理由逾期不办结项结账手续的科研项目，学校有权予以结项结账，并会同项目下达部门</w:t>
      </w:r>
      <w:r>
        <w:t>提出处理意见。</w:t>
      </w:r>
    </w:p>
    <w:p w14:paraId="786E984F">
      <w:pPr>
        <w:pStyle w:val="3"/>
        <w:spacing w:line="402" w:lineRule="exact"/>
        <w:ind w:left="800"/>
      </w:pPr>
      <w:r>
        <w:t>第十八条 结转、结余资金管理</w:t>
      </w:r>
    </w:p>
    <w:p w14:paraId="7047FFB7">
      <w:pPr>
        <w:pStyle w:val="3"/>
        <w:spacing w:before="150" w:line="328" w:lineRule="auto"/>
        <w:ind w:right="258" w:firstLine="640"/>
        <w:jc w:val="both"/>
      </w:pPr>
      <w:r>
        <w:rPr>
          <w:w w:val="95"/>
        </w:rPr>
        <w:t>校外竞争性财政性科研项目在研期间，年度剩余资金可以 结转下一年度继续使用。项目完成后的结余资金按照立项单位</w:t>
      </w:r>
      <w:r>
        <w:t>相关文件执行，如无特别规定，项目组可继续使用两年。</w:t>
      </w:r>
    </w:p>
    <w:p w14:paraId="016ED078">
      <w:pPr>
        <w:pStyle w:val="3"/>
        <w:spacing w:line="328" w:lineRule="auto"/>
        <w:ind w:right="258" w:firstLine="640"/>
        <w:jc w:val="both"/>
      </w:pPr>
      <w:r>
        <w:rPr>
          <w:w w:val="95"/>
        </w:rPr>
        <w:t xml:space="preserve">校立科研项目（含市教委核准科研计划一般项目）需按当 </w:t>
      </w:r>
      <w:r>
        <w:t>年预算执行，原则上不能结转。</w:t>
      </w:r>
    </w:p>
    <w:p w14:paraId="7C09522F">
      <w:pPr>
        <w:pStyle w:val="3"/>
        <w:tabs>
          <w:tab w:val="left" w:pos="3839"/>
        </w:tabs>
        <w:spacing w:line="407" w:lineRule="exact"/>
        <w:ind w:left="2560"/>
        <w:rPr>
          <w:rFonts w:hint="eastAsia" w:ascii="黑体" w:eastAsia="黑体"/>
        </w:rPr>
      </w:pPr>
      <w:r>
        <w:rPr>
          <w:rFonts w:hint="eastAsia" w:ascii="黑体" w:eastAsia="黑体"/>
        </w:rPr>
        <w:t>第五章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横向项目经费管理</w:t>
      </w:r>
    </w:p>
    <w:p w14:paraId="0D7BD061">
      <w:pPr>
        <w:pStyle w:val="3"/>
        <w:spacing w:before="144"/>
        <w:ind w:left="800"/>
      </w:pPr>
      <w:r>
        <w:t>第十九条 预算编制</w:t>
      </w:r>
    </w:p>
    <w:p w14:paraId="5844482B">
      <w:pPr>
        <w:pStyle w:val="3"/>
        <w:spacing w:before="151"/>
        <w:ind w:left="800"/>
      </w:pPr>
      <w:r>
        <w:t>横向项目的经费预算分为管理费、项目成本和净收入三部</w:t>
      </w:r>
    </w:p>
    <w:p w14:paraId="19064748">
      <w:pPr>
        <w:pStyle w:val="3"/>
        <w:spacing w:before="150"/>
      </w:pPr>
      <w:r>
        <w:t>分。</w:t>
      </w:r>
    </w:p>
    <w:p w14:paraId="59087A51">
      <w:pPr>
        <w:pStyle w:val="3"/>
        <w:spacing w:before="149"/>
        <w:ind w:left="800"/>
      </w:pPr>
      <w:r>
        <w:rPr>
          <w:w w:val="95"/>
        </w:rPr>
        <w:t>（一）管理费。管理费提取比例由横向项目团队申请、二</w:t>
      </w:r>
    </w:p>
    <w:p w14:paraId="3943C4B4">
      <w:pPr>
        <w:pStyle w:val="3"/>
        <w:spacing w:before="151" w:line="326" w:lineRule="auto"/>
        <w:ind w:left="0" w:leftChars="0" w:right="258" w:firstLine="0" w:firstLineChars="0"/>
      </w:pPr>
      <w:r>
        <w:rPr>
          <w:spacing w:val="-12"/>
        </w:rPr>
        <w:t xml:space="preserve">级院部审核、科技处审批。管理费包含税费，一般项目按 </w:t>
      </w:r>
      <w:r>
        <w:t>6%提</w:t>
      </w:r>
      <w:r>
        <w:rPr>
          <w:spacing w:val="-4"/>
        </w:rPr>
        <w:t xml:space="preserve">取；需依托学校的设备、场地等资源实施的项目，按 </w:t>
      </w:r>
      <w:r>
        <w:t>20</w:t>
      </w:r>
      <w:r>
        <w:rPr>
          <w:spacing w:val="0"/>
        </w:rPr>
        <w:t>%提取</w:t>
      </w:r>
    </w:p>
    <w:p w14:paraId="6A44E831">
      <w:pPr>
        <w:pStyle w:val="3"/>
        <w:spacing w:before="4" w:line="328" w:lineRule="auto"/>
        <w:ind w:right="260"/>
      </w:pPr>
      <w:r>
        <w:rPr>
          <w:spacing w:val="5"/>
        </w:rPr>
        <w:t>（</w:t>
      </w:r>
      <w:r>
        <w:t>如机械加工、3D</w:t>
      </w:r>
      <w:r>
        <w:rPr>
          <w:spacing w:val="-7"/>
        </w:rPr>
        <w:t xml:space="preserve"> 打印、无人机测绘、云计算等</w:t>
      </w:r>
      <w:r>
        <w:rPr>
          <w:spacing w:val="-156"/>
        </w:rPr>
        <w:t>）</w:t>
      </w:r>
      <w:r>
        <w:t>。管理费由学校统筹管理。</w:t>
      </w:r>
    </w:p>
    <w:p w14:paraId="67CC8C1A">
      <w:pPr>
        <w:pStyle w:val="3"/>
        <w:spacing w:line="328" w:lineRule="auto"/>
        <w:ind w:right="258" w:firstLine="640"/>
        <w:jc w:val="both"/>
      </w:pPr>
      <w:r>
        <w:rPr>
          <w:w w:val="95"/>
        </w:rPr>
        <w:t xml:space="preserve">（二）项目成本。专用设备租赁费、材料费、测试化验加 </w:t>
      </w:r>
      <w:r>
        <w:rPr>
          <w:spacing w:val="5"/>
        </w:rPr>
        <w:t>工费、差旅费（外埠差旅费</w:t>
      </w:r>
      <w:r>
        <w:rPr>
          <w:spacing w:val="-154"/>
        </w:rPr>
        <w:t>）</w:t>
      </w:r>
      <w:r>
        <w:rPr>
          <w:spacing w:val="5"/>
        </w:rPr>
        <w:t>、差旅费（市内交通费</w:t>
      </w:r>
      <w:r>
        <w:rPr>
          <w:spacing w:val="-154"/>
        </w:rPr>
        <w:t>）</w:t>
      </w:r>
      <w:r>
        <w:rPr>
          <w:spacing w:val="3"/>
        </w:rPr>
        <w:t>、出版</w:t>
      </w:r>
      <w:r>
        <w:t xml:space="preserve">/ </w:t>
      </w:r>
      <w:r>
        <w:rPr>
          <w:w w:val="95"/>
        </w:rPr>
        <w:t>文献/信息传播/知识产权事务费、校外人员劳务费、校外专家</w:t>
      </w:r>
    </w:p>
    <w:p w14:paraId="4D01B103">
      <w:pPr>
        <w:spacing w:after="0" w:line="328" w:lineRule="auto"/>
        <w:jc w:val="both"/>
        <w:sectPr>
          <w:pgSz w:w="12240" w:h="15840"/>
          <w:pgMar w:top="1500" w:right="1540" w:bottom="1560" w:left="1640" w:header="0" w:footer="1378" w:gutter="0"/>
          <w:pgNumType w:fmt="decimal"/>
          <w:cols w:space="720" w:num="1"/>
        </w:sectPr>
      </w:pPr>
    </w:p>
    <w:p w14:paraId="494EB942">
      <w:pPr>
        <w:pStyle w:val="3"/>
        <w:spacing w:before="69" w:line="326" w:lineRule="auto"/>
        <w:ind w:right="258"/>
      </w:pPr>
      <w:r>
        <w:rPr>
          <w:w w:val="95"/>
        </w:rPr>
        <w:t xml:space="preserve">咨询费和项目的其他必要成本。向合作单位转拨经费支出不得 </w:t>
      </w:r>
      <w:r>
        <w:rPr>
          <w:spacing w:val="-8"/>
        </w:rPr>
        <w:t xml:space="preserve">超过到校项目总经费的 </w:t>
      </w:r>
      <w:r>
        <w:t>60%。</w:t>
      </w:r>
    </w:p>
    <w:p w14:paraId="167A7C57">
      <w:pPr>
        <w:pStyle w:val="3"/>
        <w:spacing w:before="4" w:line="328" w:lineRule="auto"/>
        <w:ind w:right="258" w:firstLine="640"/>
        <w:jc w:val="both"/>
      </w:pPr>
      <w:r>
        <w:rPr>
          <w:w w:val="95"/>
        </w:rPr>
        <w:t xml:space="preserve">（三）净收入。项目总到款额扣除管理费和项目成本后的 </w:t>
      </w:r>
      <w:r>
        <w:rPr>
          <w:spacing w:val="-8"/>
        </w:rPr>
        <w:t xml:space="preserve">部分为净收入。净收入的 </w:t>
      </w:r>
      <w:r>
        <w:t>70%作为项目组奖励绩效归项目承办</w:t>
      </w:r>
      <w:r>
        <w:rPr>
          <w:w w:val="95"/>
        </w:rPr>
        <w:t xml:space="preserve">单位支配，按照“多劳多得，优劳优酬”的原则，重点用于激 励编制内参与横向项目的工作人员，在项目结束、分配结果在 </w:t>
      </w:r>
      <w:r>
        <w:rPr>
          <w:spacing w:val="-4"/>
        </w:rPr>
        <w:t xml:space="preserve">本部门公布后，由科技处按权限审批发放。净收入的 </w:t>
      </w:r>
      <w:r>
        <w:t>30</w:t>
      </w:r>
      <w:r>
        <w:rPr>
          <w:spacing w:val="0"/>
        </w:rPr>
        <w:t>%用作科研事业发展经费，纳入学校统一管理。</w:t>
      </w:r>
    </w:p>
    <w:p w14:paraId="23473EFD">
      <w:pPr>
        <w:spacing w:before="0" w:line="400" w:lineRule="exact"/>
        <w:ind w:left="800" w:right="0" w:firstLine="0"/>
        <w:jc w:val="left"/>
        <w:rPr>
          <w:sz w:val="30"/>
        </w:rPr>
      </w:pPr>
      <w:r>
        <w:rPr>
          <w:sz w:val="32"/>
        </w:rPr>
        <w:t xml:space="preserve">第二十条 </w:t>
      </w:r>
      <w:r>
        <w:rPr>
          <w:sz w:val="30"/>
        </w:rPr>
        <w:t>预算调整</w:t>
      </w:r>
    </w:p>
    <w:p w14:paraId="6B766FF2">
      <w:pPr>
        <w:spacing w:before="171" w:line="350" w:lineRule="auto"/>
        <w:ind w:left="160" w:right="259" w:firstLine="600"/>
        <w:jc w:val="both"/>
        <w:rPr>
          <w:sz w:val="30"/>
        </w:rPr>
      </w:pPr>
      <w:r>
        <w:rPr>
          <w:spacing w:val="-3"/>
          <w:sz w:val="30"/>
        </w:rPr>
        <w:t>横向科研经费预算调整由项目负责人与委托方商定。调整报告</w:t>
      </w:r>
      <w:r>
        <w:rPr>
          <w:sz w:val="30"/>
        </w:rPr>
        <w:t>一式两份</w:t>
      </w:r>
      <w:r>
        <w:rPr>
          <w:spacing w:val="3"/>
          <w:sz w:val="30"/>
        </w:rPr>
        <w:t>（</w:t>
      </w:r>
      <w:r>
        <w:rPr>
          <w:spacing w:val="-7"/>
          <w:sz w:val="30"/>
        </w:rPr>
        <w:t xml:space="preserve">科技处、计划财务处各 </w:t>
      </w:r>
      <w:r>
        <w:rPr>
          <w:sz w:val="30"/>
        </w:rPr>
        <w:t>1</w:t>
      </w:r>
      <w:r>
        <w:rPr>
          <w:spacing w:val="-35"/>
          <w:sz w:val="30"/>
        </w:rPr>
        <w:t xml:space="preserve"> 份</w:t>
      </w:r>
      <w:r>
        <w:rPr>
          <w:spacing w:val="-147"/>
          <w:sz w:val="30"/>
        </w:rPr>
        <w:t>）</w:t>
      </w:r>
      <w:r>
        <w:rPr>
          <w:sz w:val="30"/>
        </w:rPr>
        <w:t>，经科技处审批后，报计</w:t>
      </w:r>
      <w:r>
        <w:rPr>
          <w:spacing w:val="-6"/>
          <w:sz w:val="30"/>
        </w:rPr>
        <w:t>划财务处调整经费预算，结项时项目组统一提交预算调整等佐证资料。</w:t>
      </w:r>
    </w:p>
    <w:p w14:paraId="635CE211">
      <w:pPr>
        <w:pStyle w:val="3"/>
        <w:spacing w:line="385" w:lineRule="exact"/>
        <w:ind w:left="800"/>
      </w:pPr>
      <w:r>
        <w:t>第二十一条 经费使用</w:t>
      </w:r>
    </w:p>
    <w:p w14:paraId="3363E575">
      <w:pPr>
        <w:pStyle w:val="3"/>
        <w:spacing w:before="149" w:line="328" w:lineRule="auto"/>
        <w:ind w:right="258" w:firstLine="640"/>
      </w:pPr>
      <w:r>
        <w:rPr>
          <w:w w:val="95"/>
        </w:rPr>
        <w:t>（一）经费的使用严格按照横向项目（技术服务）经费预</w:t>
      </w:r>
      <w:r>
        <w:t>算表规定的范围和比例支出。</w:t>
      </w:r>
    </w:p>
    <w:p w14:paraId="17DC29E8">
      <w:pPr>
        <w:pStyle w:val="3"/>
        <w:spacing w:line="328" w:lineRule="auto"/>
        <w:ind w:right="258" w:firstLine="640"/>
        <w:jc w:val="both"/>
      </w:pPr>
      <w:r>
        <w:rPr>
          <w:w w:val="95"/>
        </w:rPr>
        <w:t>（二）横向项目应按合同约定的时间按时结项，结项前应 全面清理经费收支和应收应付等款项。由于其他原因未能按时</w:t>
      </w:r>
      <w:r>
        <w:rPr>
          <w:spacing w:val="-5"/>
        </w:rPr>
        <w:t xml:space="preserve">结项时，须提出延期结项申请。每次以 </w:t>
      </w:r>
      <w:r>
        <w:t>6</w:t>
      </w:r>
      <w:r>
        <w:rPr>
          <w:spacing w:val="-10"/>
        </w:rPr>
        <w:t xml:space="preserve"> 个月为单位，原则上</w:t>
      </w:r>
      <w:r>
        <w:t>最多不超过 2 年。</w:t>
      </w:r>
    </w:p>
    <w:p w14:paraId="438AA697">
      <w:pPr>
        <w:pStyle w:val="3"/>
        <w:spacing w:before="146"/>
        <w:ind w:left="800"/>
      </w:pPr>
      <w:r>
        <w:t>第二十二条 报销审批</w:t>
      </w:r>
    </w:p>
    <w:p w14:paraId="75C73175">
      <w:pPr>
        <w:pStyle w:val="3"/>
        <w:spacing w:before="152"/>
        <w:ind w:left="800"/>
      </w:pPr>
      <w:r>
        <w:t>横向经费支出实行项目负责人制和分级审批制度。在项目</w:t>
      </w:r>
    </w:p>
    <w:p w14:paraId="38D287CF">
      <w:pPr>
        <w:spacing w:after="0"/>
        <w:sectPr>
          <w:pgSz w:w="12240" w:h="15840"/>
          <w:pgMar w:top="1500" w:right="1540" w:bottom="1560" w:left="1640" w:header="0" w:footer="1378" w:gutter="0"/>
          <w:pgNumType w:fmt="decimal"/>
          <w:cols w:space="720" w:num="1"/>
        </w:sectPr>
      </w:pPr>
    </w:p>
    <w:p w14:paraId="59EDC78A">
      <w:pPr>
        <w:pStyle w:val="3"/>
        <w:spacing w:before="69"/>
      </w:pPr>
      <w:r>
        <w:t>预算额度内，经费支出的审批权限如下：</w:t>
      </w:r>
    </w:p>
    <w:p w14:paraId="5F0A6703">
      <w:pPr>
        <w:pStyle w:val="3"/>
        <w:spacing w:before="150" w:line="326" w:lineRule="auto"/>
        <w:ind w:right="258" w:firstLine="640"/>
        <w:jc w:val="both"/>
      </w:pPr>
      <w:r>
        <w:rPr>
          <w:spacing w:val="5"/>
        </w:rPr>
        <w:t>（</w:t>
      </w:r>
      <w:r>
        <w:t>一</w:t>
      </w:r>
      <w:r>
        <w:rPr>
          <w:spacing w:val="5"/>
        </w:rPr>
        <w:t>）</w:t>
      </w:r>
      <w:r>
        <w:rPr>
          <w:spacing w:val="1"/>
        </w:rPr>
        <w:t>单笔支出≤</w:t>
      </w:r>
      <w:r>
        <w:t>3</w:t>
      </w:r>
      <w:r>
        <w:rPr>
          <w:spacing w:val="-6"/>
        </w:rPr>
        <w:t xml:space="preserve"> 万元，项目负责人签字报销，项目负责人为经手人时需经项目所属二级单位负责人签字报销。</w:t>
      </w:r>
    </w:p>
    <w:p w14:paraId="67BB6F05">
      <w:pPr>
        <w:pStyle w:val="3"/>
        <w:spacing w:before="5" w:line="326" w:lineRule="auto"/>
        <w:ind w:right="258" w:firstLine="640"/>
        <w:jc w:val="both"/>
      </w:pPr>
      <w:r>
        <w:t>（二</w:t>
      </w:r>
      <w:r>
        <w:rPr>
          <w:spacing w:val="-40"/>
        </w:rPr>
        <w:t>）3</w:t>
      </w:r>
      <w:r>
        <w:rPr>
          <w:spacing w:val="-11"/>
        </w:rPr>
        <w:t xml:space="preserve"> 万元＜单笔支出≤</w:t>
      </w:r>
      <w:r>
        <w:t>10</w:t>
      </w:r>
      <w:r>
        <w:rPr>
          <w:spacing w:val="-20"/>
        </w:rPr>
        <w:t xml:space="preserve"> 万元，在履行第(</w:t>
      </w:r>
      <w:r>
        <w:t>1)款审批程序基础上，需项目所属二级单位负责人审批。</w:t>
      </w:r>
    </w:p>
    <w:p w14:paraId="2A6B35D3">
      <w:pPr>
        <w:pStyle w:val="3"/>
        <w:spacing w:before="3" w:line="328" w:lineRule="auto"/>
        <w:ind w:right="258" w:firstLine="640"/>
        <w:jc w:val="both"/>
      </w:pPr>
      <w:r>
        <w:t>（三）10</w:t>
      </w:r>
      <w:r>
        <w:rPr>
          <w:spacing w:val="-11"/>
        </w:rPr>
        <w:t xml:space="preserve"> 万元＜单笔支出≤</w:t>
      </w:r>
      <w:r>
        <w:t>20</w:t>
      </w:r>
      <w:r>
        <w:rPr>
          <w:spacing w:val="-10"/>
        </w:rPr>
        <w:t xml:space="preserve"> 万元，在履行本条第(</w:t>
      </w:r>
      <w:r>
        <w:t>2)款审批程序基础上，需经科技处处长审批。</w:t>
      </w:r>
    </w:p>
    <w:p w14:paraId="47489C6F">
      <w:pPr>
        <w:pStyle w:val="3"/>
        <w:spacing w:line="326" w:lineRule="auto"/>
        <w:ind w:right="260" w:firstLine="640"/>
        <w:jc w:val="both"/>
      </w:pPr>
      <w:r>
        <w:rPr>
          <w:spacing w:val="5"/>
        </w:rPr>
        <w:t>（四</w:t>
      </w:r>
      <w:r>
        <w:t>）</w:t>
      </w:r>
      <w:r>
        <w:rPr>
          <w:spacing w:val="1"/>
        </w:rPr>
        <w:t>单笔支出≥</w:t>
      </w:r>
      <w:r>
        <w:t>20</w:t>
      </w:r>
      <w:r>
        <w:rPr>
          <w:spacing w:val="-7"/>
        </w:rPr>
        <w:t xml:space="preserve"> 万元，在履行本条第</w:t>
      </w:r>
      <w:r>
        <w:t>(3)</w:t>
      </w:r>
      <w:r>
        <w:rPr>
          <w:spacing w:val="1"/>
        </w:rPr>
        <w:t>款审批程序基础上，需经主管科研校领导和主管财务校领导共同审批。</w:t>
      </w:r>
    </w:p>
    <w:p w14:paraId="7FD85FE7">
      <w:pPr>
        <w:pStyle w:val="3"/>
        <w:spacing w:before="3"/>
        <w:ind w:left="800"/>
      </w:pPr>
      <w:r>
        <w:t>涉及政府采购的，要严格执行政府采购相关规定。</w:t>
      </w:r>
    </w:p>
    <w:p w14:paraId="36CBBEF3">
      <w:pPr>
        <w:pStyle w:val="3"/>
        <w:tabs>
          <w:tab w:val="left" w:pos="3999"/>
        </w:tabs>
        <w:spacing w:before="150"/>
        <w:ind w:left="2720"/>
        <w:rPr>
          <w:rFonts w:hint="eastAsia" w:ascii="黑体" w:eastAsia="黑体"/>
        </w:rPr>
      </w:pPr>
      <w:r>
        <w:rPr>
          <w:rFonts w:hint="eastAsia" w:ascii="黑体" w:eastAsia="黑体"/>
        </w:rPr>
        <w:t>第六章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绩效评价与监督</w:t>
      </w:r>
    </w:p>
    <w:p w14:paraId="6B796B3B">
      <w:pPr>
        <w:pStyle w:val="3"/>
        <w:spacing w:before="149" w:line="328" w:lineRule="auto"/>
        <w:ind w:right="258" w:firstLine="640"/>
        <w:jc w:val="both"/>
      </w:pPr>
      <w:r>
        <w:rPr>
          <w:spacing w:val="3"/>
        </w:rPr>
        <w:t>第二十三条 科研经费的收支要严格遵守国家和各级财务</w:t>
      </w:r>
      <w:r>
        <w:rPr>
          <w:spacing w:val="3"/>
          <w:w w:val="95"/>
        </w:rPr>
        <w:t xml:space="preserve">部门制定的各项政策法规，项目负责人严格把关，相关部门对 科研经费的使用进行必要的检查与监督，对发现的问题要及时 </w:t>
      </w:r>
      <w:r>
        <w:rPr>
          <w:spacing w:val="3"/>
        </w:rPr>
        <w:t>整改。</w:t>
      </w:r>
    </w:p>
    <w:p w14:paraId="4024EA6B">
      <w:pPr>
        <w:pStyle w:val="3"/>
        <w:spacing w:line="328" w:lineRule="auto"/>
        <w:ind w:right="258" w:firstLine="640"/>
        <w:jc w:val="both"/>
      </w:pPr>
      <w:r>
        <w:rPr>
          <w:spacing w:val="-14"/>
        </w:rPr>
        <w:t>第二十四条 为激发教师活力、保证科研与技术服务稳步健</w:t>
      </w:r>
      <w:r>
        <w:rPr>
          <w:spacing w:val="-14"/>
          <w:w w:val="95"/>
        </w:rPr>
        <w:t xml:space="preserve">康发展，学校可根据项目的收入规模、社会影响力以及科技创 新程度等因素，对横向课题的分配比例、成本支出范围、人员 绩效奖励标准等进行必要调整。调整需由项目承担单位提出书 </w:t>
      </w:r>
      <w:r>
        <w:rPr>
          <w:spacing w:val="-14"/>
        </w:rPr>
        <w:t>面申请，学校组织人员研讨论证，经学校批准后实施。</w:t>
      </w:r>
    </w:p>
    <w:p w14:paraId="218BC484">
      <w:pPr>
        <w:pStyle w:val="3"/>
        <w:spacing w:line="328" w:lineRule="auto"/>
        <w:ind w:right="258" w:firstLine="640"/>
        <w:jc w:val="both"/>
        <w:rPr>
          <w:rFonts w:hint="eastAsia" w:eastAsia="宋体"/>
          <w:lang w:val="en-US" w:eastAsia="zh-CN"/>
        </w:rPr>
        <w:sectPr>
          <w:pgSz w:w="12240" w:h="15840"/>
          <w:pgMar w:top="1500" w:right="1540" w:bottom="1560" w:left="1640" w:header="0" w:footer="1378" w:gutter="0"/>
          <w:pgNumType w:fmt="decimal"/>
          <w:cols w:space="720" w:num="1"/>
        </w:sectPr>
      </w:pPr>
      <w:r>
        <w:rPr>
          <w:spacing w:val="-9"/>
        </w:rPr>
        <w:t>第二十五条 加强财政科研项目经费的预算执行管理，绩效</w:t>
      </w:r>
      <w:r>
        <w:rPr>
          <w:spacing w:val="-9"/>
          <w:w w:val="95"/>
        </w:rPr>
        <w:t>评价结果作为下一步科研项目申请、科研经费预算分配的重要</w:t>
      </w:r>
      <w:r>
        <w:rPr>
          <w:rFonts w:hint="eastAsia"/>
          <w:spacing w:val="-9"/>
          <w:w w:val="95"/>
          <w:lang w:val="en-US" w:eastAsia="zh-CN"/>
        </w:rPr>
        <w:t>依据。</w:t>
      </w:r>
    </w:p>
    <w:p w14:paraId="31F81779">
      <w:pPr>
        <w:pStyle w:val="3"/>
        <w:spacing w:before="69" w:line="326" w:lineRule="auto"/>
        <w:ind w:left="0" w:leftChars="0" w:right="258" w:firstLine="0" w:firstLineChars="0"/>
        <w:jc w:val="both"/>
      </w:pPr>
      <w:r>
        <w:rPr>
          <w:w w:val="95"/>
        </w:rPr>
        <w:t>对自行调整经费用途、预算执行缓慢、实施效果差的项目，应采取调整和扣减当年预算、暂停安排以后年度预算等措</w:t>
      </w:r>
      <w:bookmarkStart w:id="0" w:name="_GoBack"/>
      <w:bookmarkEnd w:id="0"/>
      <w:r>
        <w:t>施。</w:t>
      </w:r>
    </w:p>
    <w:p w14:paraId="4145D35F">
      <w:pPr>
        <w:pStyle w:val="3"/>
        <w:spacing w:before="8" w:line="326" w:lineRule="auto"/>
        <w:ind w:right="258" w:firstLine="640"/>
        <w:jc w:val="both"/>
      </w:pPr>
      <w:r>
        <w:rPr>
          <w:spacing w:val="3"/>
        </w:rPr>
        <w:t>第二十六条 项目负责人应严格按照合同约定或项目预算</w:t>
      </w:r>
      <w:r>
        <w:rPr>
          <w:spacing w:val="3"/>
          <w:w w:val="95"/>
        </w:rPr>
        <w:t xml:space="preserve">合理使用科研经费，严禁以任何方式挪用、侵占、骗取科研经 </w:t>
      </w:r>
      <w:r>
        <w:rPr>
          <w:spacing w:val="3"/>
        </w:rPr>
        <w:t>费，包括但不限于以下行为：</w:t>
      </w:r>
    </w:p>
    <w:p w14:paraId="7F6E4A1B">
      <w:pPr>
        <w:pStyle w:val="3"/>
        <w:spacing w:before="7"/>
        <w:ind w:left="800"/>
      </w:pPr>
      <w:r>
        <w:t>（一）严禁编造虚假合同、编制虚假预算；</w:t>
      </w:r>
    </w:p>
    <w:p w14:paraId="3BB3274A">
      <w:pPr>
        <w:pStyle w:val="3"/>
        <w:spacing w:before="149" w:line="326" w:lineRule="auto"/>
        <w:ind w:right="258" w:firstLine="640"/>
      </w:pPr>
      <w:r>
        <w:rPr>
          <w:w w:val="95"/>
        </w:rPr>
        <w:t xml:space="preserve">（二）严禁违规将科研经费转拨、转移至利益相关单位或 </w:t>
      </w:r>
      <w:r>
        <w:t>个人；</w:t>
      </w:r>
    </w:p>
    <w:p w14:paraId="02AE76CD">
      <w:pPr>
        <w:pStyle w:val="3"/>
        <w:spacing w:before="6"/>
        <w:ind w:left="800"/>
      </w:pPr>
      <w:r>
        <w:t>（三）严禁购买与科研项目无关的设备、材料；</w:t>
      </w:r>
    </w:p>
    <w:p w14:paraId="50C8021F">
      <w:pPr>
        <w:pStyle w:val="3"/>
        <w:spacing w:before="149"/>
        <w:ind w:left="800"/>
      </w:pPr>
      <w:r>
        <w:t>（四）严禁虚构经济业务，使用虚假票据套取科研经费；</w:t>
      </w:r>
    </w:p>
    <w:p w14:paraId="4CC9061B">
      <w:pPr>
        <w:pStyle w:val="3"/>
        <w:spacing w:before="149"/>
        <w:ind w:left="800"/>
      </w:pPr>
      <w:r>
        <w:t>（五）严禁在科研经费中报销个人家庭消费支出；</w:t>
      </w:r>
    </w:p>
    <w:p w14:paraId="504E13C0">
      <w:pPr>
        <w:pStyle w:val="3"/>
        <w:spacing w:before="152"/>
        <w:ind w:left="800"/>
      </w:pPr>
      <w:r>
        <w:t>（六）严禁虚列、伪造名单，虚报冒领科研劳务性费用；</w:t>
      </w:r>
    </w:p>
    <w:p w14:paraId="38F34C3F">
      <w:pPr>
        <w:pStyle w:val="3"/>
        <w:spacing w:before="149"/>
        <w:ind w:left="800"/>
      </w:pPr>
      <w:r>
        <w:t>（七）严禁借科研协作之名，将科研经费挪作他用；</w:t>
      </w:r>
    </w:p>
    <w:p w14:paraId="500A40B6">
      <w:pPr>
        <w:pStyle w:val="3"/>
        <w:spacing w:before="149"/>
        <w:ind w:left="800"/>
      </w:pPr>
      <w:r>
        <w:t>（八）严禁其他不符合科研经费管理的各项开支。</w:t>
      </w:r>
    </w:p>
    <w:p w14:paraId="3C0E9D2B">
      <w:pPr>
        <w:pStyle w:val="3"/>
        <w:spacing w:before="152" w:line="326" w:lineRule="auto"/>
        <w:ind w:right="258" w:firstLine="640"/>
        <w:jc w:val="both"/>
      </w:pPr>
      <w:r>
        <w:rPr>
          <w:w w:val="95"/>
        </w:rPr>
        <w:t xml:space="preserve">出现上述行为将视情节轻重采取暂停项目支出、终止项目 执行、追回已拨项目资金、取消项目承担者一定期限内项目申 </w:t>
      </w:r>
      <w:r>
        <w:t>报资格等措施。</w:t>
      </w:r>
    </w:p>
    <w:p w14:paraId="1021CC3D">
      <w:pPr>
        <w:pStyle w:val="3"/>
        <w:tabs>
          <w:tab w:val="left" w:pos="4719"/>
        </w:tabs>
        <w:spacing w:before="7"/>
        <w:ind w:left="3440"/>
        <w:rPr>
          <w:rFonts w:hint="eastAsia" w:ascii="黑体" w:eastAsia="黑体"/>
        </w:rPr>
      </w:pPr>
      <w:r>
        <w:rPr>
          <w:rFonts w:hint="eastAsia" w:ascii="黑体" w:eastAsia="黑体"/>
        </w:rPr>
        <w:t>第七章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附 则</w:t>
      </w:r>
    </w:p>
    <w:p w14:paraId="19FAB187">
      <w:pPr>
        <w:pStyle w:val="3"/>
        <w:spacing w:before="149" w:line="326" w:lineRule="auto"/>
        <w:ind w:right="258" w:firstLine="640"/>
      </w:pPr>
      <w:r>
        <w:rPr>
          <w:spacing w:val="-14"/>
        </w:rPr>
        <w:t>第二十七条 本办法由科技处、计划财务处等根据各自职责负责解释。</w:t>
      </w:r>
    </w:p>
    <w:p w14:paraId="352A79A9">
      <w:pPr>
        <w:pStyle w:val="3"/>
        <w:spacing w:before="6"/>
        <w:ind w:left="800"/>
      </w:pPr>
      <w:r>
        <w:rPr>
          <w:spacing w:val="-9"/>
        </w:rPr>
        <w:t xml:space="preserve">第二十八条 本办法自 </w:t>
      </w:r>
      <w:r>
        <w:t>2025</w:t>
      </w:r>
      <w:r>
        <w:rPr>
          <w:spacing w:val="-55"/>
        </w:rPr>
        <w:t xml:space="preserve"> 年 </w:t>
      </w:r>
      <w:r>
        <w:t>1</w:t>
      </w:r>
      <w:r>
        <w:rPr>
          <w:spacing w:val="-55"/>
        </w:rPr>
        <w:t xml:space="preserve"> 月 </w:t>
      </w:r>
      <w:r>
        <w:t>1</w:t>
      </w:r>
      <w:r>
        <w:rPr>
          <w:spacing w:val="-10"/>
        </w:rPr>
        <w:t xml:space="preserve"> 日起实施，之前科研</w:t>
      </w:r>
    </w:p>
    <w:p w14:paraId="0BF34A57">
      <w:pPr>
        <w:spacing w:after="0"/>
        <w:sectPr>
          <w:pgSz w:w="12240" w:h="15840"/>
          <w:pgMar w:top="1500" w:right="1540" w:bottom="1560" w:left="1640" w:header="0" w:footer="1378" w:gutter="0"/>
          <w:pgNumType w:fmt="decimal"/>
          <w:cols w:space="720" w:num="1"/>
        </w:sectPr>
      </w:pPr>
    </w:p>
    <w:p w14:paraId="08FD1772">
      <w:pPr>
        <w:pStyle w:val="3"/>
        <w:spacing w:before="69" w:line="328" w:lineRule="auto"/>
        <w:ind w:right="258"/>
        <w:jc w:val="both"/>
      </w:pPr>
      <w:r>
        <w:pict>
          <v:line id="_x0000_s1027" o:spid="_x0000_s1027" o:spt="20" style="position:absolute;left:0pt;margin-left:90pt;margin-top:691.75pt;height:0pt;width:432pt;mso-position-horizontal-relative:page;mso-position-vertical-relative:page;z-index:-251655168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w w:val="95"/>
        </w:rPr>
        <w:t>经费管理有关内容与本办法不一致的以本办法为准</w:t>
      </w:r>
      <w:r>
        <w:rPr>
          <w:spacing w:val="-55"/>
          <w:w w:val="95"/>
        </w:rPr>
        <w:t xml:space="preserve">，《横向科研 </w:t>
      </w:r>
      <w:r>
        <w:rPr>
          <w:spacing w:val="0"/>
        </w:rPr>
        <w:t>课题管理办法</w:t>
      </w:r>
      <w:r>
        <w:t>（</w:t>
      </w:r>
      <w:r>
        <w:rPr>
          <w:spacing w:val="1"/>
        </w:rPr>
        <w:t>试行</w:t>
      </w:r>
      <w:r>
        <w:rPr>
          <w:spacing w:val="-156"/>
        </w:rPr>
        <w:t>）</w:t>
      </w:r>
      <w:r>
        <w:rPr>
          <w:spacing w:val="1"/>
        </w:rPr>
        <w:t>》政发〔</w:t>
      </w:r>
      <w:r>
        <w:t>2016〕5</w:t>
      </w:r>
      <w:r>
        <w:rPr>
          <w:spacing w:val="-23"/>
        </w:rPr>
        <w:t xml:space="preserve"> 号、《技术服务项目管</w:t>
      </w:r>
      <w:r>
        <w:rPr>
          <w:spacing w:val="-21"/>
        </w:rPr>
        <w:t>理办法</w:t>
      </w:r>
      <w:r>
        <w:t>（试行</w:t>
      </w:r>
      <w:r>
        <w:rPr>
          <w:spacing w:val="-159"/>
        </w:rPr>
        <w:t>）</w:t>
      </w:r>
      <w:r>
        <w:rPr>
          <w:spacing w:val="-9"/>
        </w:rPr>
        <w:t>》政发〔</w:t>
      </w:r>
      <w:r>
        <w:t>2016</w:t>
      </w:r>
      <w:r>
        <w:rPr>
          <w:spacing w:val="-17"/>
        </w:rPr>
        <w:t>〕</w:t>
      </w:r>
      <w:r>
        <w:t>15</w:t>
      </w:r>
      <w:r>
        <w:rPr>
          <w:spacing w:val="-23"/>
        </w:rPr>
        <w:t xml:space="preserve"> 号相关内容，《科研项目经费管理办法（试行</w:t>
      </w:r>
      <w:r>
        <w:rPr>
          <w:spacing w:val="-159"/>
        </w:rPr>
        <w:t>）</w:t>
      </w:r>
      <w:r>
        <w:t>》政发[2021]17</w:t>
      </w:r>
      <w:r>
        <w:rPr>
          <w:spacing w:val="-13"/>
        </w:rPr>
        <w:t>号同时废止。</w:t>
      </w:r>
    </w:p>
    <w:p w14:paraId="5FF240BE">
      <w:pPr>
        <w:pStyle w:val="3"/>
        <w:ind w:left="0"/>
        <w:rPr>
          <w:sz w:val="20"/>
        </w:rPr>
      </w:pPr>
    </w:p>
    <w:p w14:paraId="10018D56">
      <w:pPr>
        <w:pStyle w:val="3"/>
        <w:ind w:left="0"/>
        <w:rPr>
          <w:sz w:val="20"/>
        </w:rPr>
      </w:pPr>
    </w:p>
    <w:p w14:paraId="00CC1DFB">
      <w:pPr>
        <w:pStyle w:val="3"/>
        <w:ind w:left="0"/>
        <w:rPr>
          <w:sz w:val="20"/>
        </w:rPr>
      </w:pPr>
    </w:p>
    <w:p w14:paraId="1BB0DF8B">
      <w:pPr>
        <w:pStyle w:val="3"/>
        <w:ind w:left="0"/>
        <w:rPr>
          <w:sz w:val="20"/>
        </w:rPr>
      </w:pPr>
    </w:p>
    <w:p w14:paraId="01F829F6">
      <w:pPr>
        <w:pStyle w:val="3"/>
        <w:ind w:left="0"/>
        <w:rPr>
          <w:sz w:val="20"/>
        </w:rPr>
      </w:pPr>
    </w:p>
    <w:p w14:paraId="7109EF82">
      <w:pPr>
        <w:pStyle w:val="3"/>
        <w:ind w:left="0"/>
        <w:rPr>
          <w:sz w:val="20"/>
        </w:rPr>
      </w:pPr>
    </w:p>
    <w:p w14:paraId="6F2210AF">
      <w:pPr>
        <w:pStyle w:val="3"/>
        <w:ind w:left="0"/>
        <w:rPr>
          <w:sz w:val="20"/>
        </w:rPr>
      </w:pPr>
    </w:p>
    <w:p w14:paraId="09C21C57">
      <w:pPr>
        <w:pStyle w:val="3"/>
        <w:ind w:left="0"/>
        <w:rPr>
          <w:sz w:val="20"/>
        </w:rPr>
      </w:pPr>
    </w:p>
    <w:p w14:paraId="0052B577">
      <w:pPr>
        <w:pStyle w:val="3"/>
        <w:ind w:left="0"/>
        <w:rPr>
          <w:sz w:val="20"/>
        </w:rPr>
      </w:pPr>
    </w:p>
    <w:p w14:paraId="0609BE28">
      <w:pPr>
        <w:pStyle w:val="3"/>
        <w:ind w:left="0"/>
        <w:rPr>
          <w:sz w:val="20"/>
        </w:rPr>
      </w:pPr>
    </w:p>
    <w:p w14:paraId="224EB52B">
      <w:pPr>
        <w:pStyle w:val="3"/>
        <w:ind w:left="0"/>
        <w:rPr>
          <w:sz w:val="20"/>
        </w:rPr>
      </w:pPr>
    </w:p>
    <w:p w14:paraId="7857E354">
      <w:pPr>
        <w:pStyle w:val="3"/>
        <w:ind w:left="0"/>
        <w:rPr>
          <w:sz w:val="20"/>
        </w:rPr>
      </w:pPr>
    </w:p>
    <w:p w14:paraId="5BA41158">
      <w:pPr>
        <w:pStyle w:val="3"/>
        <w:ind w:left="0"/>
        <w:rPr>
          <w:sz w:val="20"/>
        </w:rPr>
      </w:pPr>
    </w:p>
    <w:p w14:paraId="56E93832">
      <w:pPr>
        <w:pStyle w:val="3"/>
        <w:ind w:left="0"/>
        <w:rPr>
          <w:sz w:val="20"/>
        </w:rPr>
      </w:pPr>
    </w:p>
    <w:p w14:paraId="7F76F34E">
      <w:pPr>
        <w:pStyle w:val="3"/>
        <w:ind w:left="0"/>
        <w:rPr>
          <w:sz w:val="20"/>
        </w:rPr>
      </w:pPr>
    </w:p>
    <w:p w14:paraId="7C0ACF0A">
      <w:pPr>
        <w:pStyle w:val="3"/>
        <w:ind w:left="0"/>
        <w:rPr>
          <w:sz w:val="20"/>
        </w:rPr>
      </w:pPr>
    </w:p>
    <w:p w14:paraId="0D3DD2B7">
      <w:pPr>
        <w:pStyle w:val="3"/>
        <w:ind w:left="0"/>
        <w:rPr>
          <w:sz w:val="20"/>
        </w:rPr>
      </w:pPr>
    </w:p>
    <w:p w14:paraId="7AB7AE54">
      <w:pPr>
        <w:pStyle w:val="3"/>
        <w:ind w:left="0"/>
        <w:rPr>
          <w:sz w:val="20"/>
        </w:rPr>
      </w:pPr>
    </w:p>
    <w:p w14:paraId="39BD1764">
      <w:pPr>
        <w:pStyle w:val="3"/>
        <w:ind w:left="0"/>
        <w:rPr>
          <w:sz w:val="20"/>
        </w:rPr>
      </w:pPr>
    </w:p>
    <w:p w14:paraId="0AF6F63F">
      <w:pPr>
        <w:pStyle w:val="3"/>
        <w:ind w:left="0"/>
        <w:rPr>
          <w:sz w:val="20"/>
        </w:rPr>
      </w:pPr>
    </w:p>
    <w:p w14:paraId="2DB6DC2D">
      <w:pPr>
        <w:pStyle w:val="3"/>
        <w:ind w:left="0"/>
        <w:rPr>
          <w:sz w:val="20"/>
        </w:rPr>
      </w:pPr>
    </w:p>
    <w:p w14:paraId="0639454C">
      <w:pPr>
        <w:pStyle w:val="3"/>
        <w:ind w:left="0"/>
        <w:rPr>
          <w:sz w:val="20"/>
        </w:rPr>
      </w:pPr>
    </w:p>
    <w:p w14:paraId="3EF489A8">
      <w:pPr>
        <w:pStyle w:val="3"/>
        <w:ind w:left="0"/>
        <w:rPr>
          <w:sz w:val="20"/>
        </w:rPr>
      </w:pPr>
    </w:p>
    <w:p w14:paraId="6447DFCF">
      <w:pPr>
        <w:pStyle w:val="3"/>
        <w:ind w:left="0"/>
        <w:rPr>
          <w:sz w:val="20"/>
        </w:rPr>
      </w:pPr>
    </w:p>
    <w:p w14:paraId="54C37A17">
      <w:pPr>
        <w:pStyle w:val="3"/>
        <w:ind w:left="0"/>
        <w:rPr>
          <w:sz w:val="20"/>
        </w:rPr>
      </w:pPr>
    </w:p>
    <w:p w14:paraId="65CE91A9">
      <w:pPr>
        <w:pStyle w:val="3"/>
        <w:ind w:left="0"/>
        <w:rPr>
          <w:sz w:val="20"/>
        </w:rPr>
      </w:pPr>
    </w:p>
    <w:p w14:paraId="751DF54C">
      <w:pPr>
        <w:pStyle w:val="3"/>
        <w:ind w:left="0"/>
        <w:rPr>
          <w:sz w:val="20"/>
        </w:rPr>
      </w:pPr>
    </w:p>
    <w:p w14:paraId="6B3BC52A">
      <w:pPr>
        <w:pStyle w:val="3"/>
        <w:ind w:left="0"/>
        <w:rPr>
          <w:sz w:val="20"/>
        </w:rPr>
      </w:pPr>
    </w:p>
    <w:p w14:paraId="1FAA101A">
      <w:pPr>
        <w:pStyle w:val="3"/>
        <w:ind w:left="0"/>
        <w:rPr>
          <w:sz w:val="20"/>
        </w:rPr>
      </w:pPr>
    </w:p>
    <w:p w14:paraId="34A9AF13">
      <w:pPr>
        <w:pStyle w:val="3"/>
        <w:ind w:left="0"/>
        <w:rPr>
          <w:sz w:val="20"/>
        </w:rPr>
      </w:pPr>
    </w:p>
    <w:p w14:paraId="1FD91AAF">
      <w:pPr>
        <w:pStyle w:val="3"/>
        <w:ind w:left="0"/>
        <w:rPr>
          <w:sz w:val="20"/>
        </w:rPr>
      </w:pPr>
    </w:p>
    <w:p w14:paraId="75D3A20E">
      <w:pPr>
        <w:pStyle w:val="3"/>
        <w:ind w:left="0"/>
        <w:rPr>
          <w:sz w:val="20"/>
        </w:rPr>
      </w:pPr>
    </w:p>
    <w:p w14:paraId="1AA4F806">
      <w:pPr>
        <w:pStyle w:val="3"/>
        <w:ind w:left="0"/>
        <w:rPr>
          <w:sz w:val="20"/>
        </w:rPr>
      </w:pPr>
    </w:p>
    <w:p w14:paraId="2020A79C">
      <w:pPr>
        <w:pStyle w:val="3"/>
        <w:ind w:left="0"/>
        <w:rPr>
          <w:sz w:val="20"/>
        </w:rPr>
      </w:pPr>
    </w:p>
    <w:p w14:paraId="798575FD">
      <w:pPr>
        <w:pStyle w:val="3"/>
        <w:ind w:left="0"/>
        <w:rPr>
          <w:sz w:val="20"/>
        </w:rPr>
      </w:pPr>
    </w:p>
    <w:p w14:paraId="6B53DAC6">
      <w:pPr>
        <w:pStyle w:val="3"/>
        <w:ind w:left="0"/>
        <w:rPr>
          <w:sz w:val="20"/>
        </w:rPr>
      </w:pPr>
    </w:p>
    <w:p w14:paraId="38B72FAC">
      <w:pPr>
        <w:pStyle w:val="3"/>
        <w:spacing w:before="3"/>
        <w:ind w:left="0"/>
        <w:rPr>
          <w:rFonts w:hint="eastAsia" w:ascii="仿宋" w:eastAsia="仿宋"/>
          <w:sz w:val="28"/>
        </w:rPr>
      </w:pPr>
      <w:r>
        <w:pict>
          <v:line id="_x0000_s1028" o:spid="_x0000_s1028" o:spt="20" style="position:absolute;left:0pt;margin-left:90pt;margin-top:15.95pt;height:0pt;width:432pt;mso-position-horizontal-relative:page;mso-wrap-distance-bottom:0pt;mso-wrap-distance-top:0pt;z-index:251660288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  <w10:wrap type="topAndBottom"/>
          </v:line>
        </w:pic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eastAsia="仿宋"/>
          <w:sz w:val="28"/>
        </w:rPr>
        <w:t>北</w:t>
      </w:r>
      <w:r>
        <w:rPr>
          <w:rFonts w:hint="eastAsia" w:ascii="仿宋" w:eastAsia="仿宋"/>
          <w:spacing w:val="-3"/>
          <w:sz w:val="28"/>
        </w:rPr>
        <w:t>京</w:t>
      </w:r>
      <w:r>
        <w:rPr>
          <w:rFonts w:hint="eastAsia" w:ascii="仿宋" w:eastAsia="仿宋"/>
          <w:sz w:val="28"/>
        </w:rPr>
        <w:t>工业</w:t>
      </w:r>
      <w:r>
        <w:rPr>
          <w:rFonts w:hint="eastAsia" w:ascii="仿宋" w:eastAsia="仿宋"/>
          <w:spacing w:val="-3"/>
          <w:sz w:val="28"/>
        </w:rPr>
        <w:t>职</w:t>
      </w:r>
      <w:r>
        <w:rPr>
          <w:rFonts w:hint="eastAsia" w:ascii="仿宋" w:eastAsia="仿宋"/>
          <w:sz w:val="28"/>
        </w:rPr>
        <w:t>业技</w:t>
      </w:r>
      <w:r>
        <w:rPr>
          <w:rFonts w:hint="eastAsia" w:ascii="仿宋" w:eastAsia="仿宋"/>
          <w:spacing w:val="-3"/>
          <w:sz w:val="28"/>
        </w:rPr>
        <w:t>术</w:t>
      </w:r>
      <w:r>
        <w:rPr>
          <w:rFonts w:hint="eastAsia" w:ascii="仿宋" w:eastAsia="仿宋"/>
          <w:sz w:val="28"/>
        </w:rPr>
        <w:t>学院</w:t>
      </w:r>
      <w:r>
        <w:rPr>
          <w:rFonts w:hint="eastAsia" w:ascii="仿宋" w:eastAsia="仿宋"/>
          <w:spacing w:val="-3"/>
          <w:sz w:val="28"/>
        </w:rPr>
        <w:t>党</w:t>
      </w:r>
      <w:r>
        <w:rPr>
          <w:rFonts w:hint="eastAsia" w:ascii="仿宋" w:eastAsia="仿宋"/>
          <w:sz w:val="28"/>
        </w:rPr>
        <w:t>政办</w:t>
      </w:r>
      <w:r>
        <w:rPr>
          <w:rFonts w:hint="eastAsia" w:ascii="仿宋" w:eastAsia="仿宋"/>
          <w:spacing w:val="-3"/>
          <w:sz w:val="28"/>
        </w:rPr>
        <w:t>公</w:t>
      </w:r>
      <w:r>
        <w:rPr>
          <w:rFonts w:hint="eastAsia" w:ascii="仿宋" w:eastAsia="仿宋"/>
          <w:sz w:val="28"/>
        </w:rPr>
        <w:t>室</w:t>
      </w:r>
      <w:r>
        <w:rPr>
          <w:rFonts w:hint="eastAsia" w:ascii="仿宋" w:eastAsia="仿宋"/>
          <w:sz w:val="28"/>
        </w:rPr>
        <w:tab/>
      </w:r>
      <w:r>
        <w:rPr>
          <w:rFonts w:hint="eastAsia" w:ascii="仿宋" w:eastAsia="仿宋"/>
          <w:sz w:val="28"/>
        </w:rPr>
        <w:t>2024</w:t>
      </w:r>
      <w:r>
        <w:rPr>
          <w:rFonts w:hint="eastAsia" w:ascii="仿宋" w:eastAsia="仿宋"/>
          <w:spacing w:val="-94"/>
          <w:sz w:val="28"/>
        </w:rPr>
        <w:t xml:space="preserve"> </w:t>
      </w:r>
      <w:r>
        <w:rPr>
          <w:rFonts w:hint="eastAsia" w:ascii="仿宋" w:eastAsia="仿宋"/>
          <w:spacing w:val="45"/>
          <w:sz w:val="28"/>
        </w:rPr>
        <w:t>年</w:t>
      </w:r>
      <w:r>
        <w:rPr>
          <w:rFonts w:hint="eastAsia" w:ascii="仿宋" w:eastAsia="仿宋"/>
          <w:sz w:val="28"/>
        </w:rPr>
        <w:t>12</w:t>
      </w:r>
      <w:r>
        <w:rPr>
          <w:rFonts w:hint="eastAsia" w:ascii="仿宋" w:eastAsia="仿宋"/>
          <w:spacing w:val="-91"/>
          <w:sz w:val="28"/>
        </w:rPr>
        <w:t xml:space="preserve"> </w:t>
      </w:r>
      <w:r>
        <w:rPr>
          <w:rFonts w:hint="eastAsia" w:ascii="仿宋" w:eastAsia="仿宋"/>
          <w:spacing w:val="45"/>
          <w:sz w:val="28"/>
        </w:rPr>
        <w:t>月</w:t>
      </w:r>
      <w:r>
        <w:rPr>
          <w:rFonts w:hint="eastAsia" w:ascii="仿宋" w:eastAsia="仿宋"/>
          <w:sz w:val="28"/>
        </w:rPr>
        <w:t>24</w:t>
      </w:r>
      <w:r>
        <w:rPr>
          <w:rFonts w:hint="eastAsia" w:ascii="仿宋" w:eastAsia="仿宋"/>
          <w:spacing w:val="-94"/>
          <w:sz w:val="28"/>
        </w:rPr>
        <w:t xml:space="preserve"> </w:t>
      </w:r>
      <w:r>
        <w:rPr>
          <w:rFonts w:hint="eastAsia" w:ascii="仿宋" w:eastAsia="仿宋"/>
          <w:sz w:val="28"/>
        </w:rPr>
        <w:t>日</w:t>
      </w:r>
      <w:r>
        <w:rPr>
          <w:rFonts w:hint="eastAsia" w:ascii="仿宋" w:eastAsia="仿宋"/>
          <w:spacing w:val="-3"/>
          <w:sz w:val="28"/>
        </w:rPr>
        <w:t>印</w:t>
      </w:r>
      <w:r>
        <w:rPr>
          <w:rFonts w:hint="eastAsia" w:ascii="仿宋" w:eastAsia="仿宋"/>
          <w:sz w:val="28"/>
        </w:rPr>
        <w:t>发</w:t>
      </w:r>
    </w:p>
    <w:sectPr>
      <w:pgSz w:w="12240" w:h="15840"/>
      <w:pgMar w:top="1500" w:right="1540" w:bottom="1560" w:left="1640" w:header="0" w:footer="137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B7462">
    <w:pPr>
      <w:pStyle w:val="3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top:712.1pt;height:12pt;width:17pt;mso-position-horizontal:center;mso-position-horizontal-relative:margin;mso-position-vertical-relative:pag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292F07C2"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B7A35">
    <w:pPr>
      <w:pStyle w:val="3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top:712.1pt;height:12pt;width:17pt;mso-position-horizontal:center;mso-position-horizontal-relative:margin;mso-position-vertical-relative:pag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7BD35DE3"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94A69">
    <w:pPr>
      <w:pStyle w:val="3"/>
      <w:spacing w:line="14" w:lineRule="auto"/>
      <w:ind w:left="0"/>
      <w:rPr>
        <w:sz w:val="20"/>
      </w:rPr>
    </w:pPr>
    <w:r>
      <w:pict>
        <v:shape id="_x0000_s2052" o:spid="_x0000_s2052" o:spt="202" type="#_x0000_t202" style="position:absolute;left:0pt;margin-top:712.1pt;height:12pt;width:21.45pt;mso-position-horizontal:center;mso-position-horizontal-relative:margin;mso-position-vertical-relative:pag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201BB4B0"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 xml:space="preserve"> 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DFD09">
    <w:pPr>
      <w:pStyle w:val="3"/>
      <w:spacing w:line="14" w:lineRule="auto"/>
      <w:ind w:left="0"/>
      <w:rPr>
        <w:sz w:val="20"/>
      </w:rPr>
    </w:pPr>
    <w:r>
      <w:pict>
        <v:shape id="_x0000_s2051" o:spid="_x0000_s2051" o:spt="202" type="#_x0000_t202" style="position:absolute;left:0pt;margin-top:712.1pt;height:12pt;width:21.45pt;mso-position-horizontal:center;mso-position-horizontal-relative:margin;mso-position-vertical-relative:pag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6916C84B"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55B6F0B"/>
    <w:rsid w:val="1C33298F"/>
    <w:rsid w:val="1DDC2BB3"/>
    <w:rsid w:val="1F3C5FFF"/>
    <w:rsid w:val="23583534"/>
    <w:rsid w:val="249441E7"/>
    <w:rsid w:val="30142680"/>
    <w:rsid w:val="31701B38"/>
    <w:rsid w:val="32250B75"/>
    <w:rsid w:val="32690145"/>
    <w:rsid w:val="34A00986"/>
    <w:rsid w:val="43E91A02"/>
    <w:rsid w:val="452659DD"/>
    <w:rsid w:val="487675DC"/>
    <w:rsid w:val="4BDC009E"/>
    <w:rsid w:val="59AF294E"/>
    <w:rsid w:val="60F65306"/>
    <w:rsid w:val="61B52ACC"/>
    <w:rsid w:val="62791D4B"/>
    <w:rsid w:val="673B3A73"/>
    <w:rsid w:val="68211882"/>
    <w:rsid w:val="68D93544"/>
    <w:rsid w:val="6F7D423F"/>
    <w:rsid w:val="7F637BB3"/>
    <w:rsid w:val="7FF64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line="561" w:lineRule="exact"/>
      <w:ind w:left="1400"/>
      <w:outlineLvl w:val="1"/>
    </w:pPr>
    <w:rPr>
      <w:rFonts w:ascii="宋体" w:hAnsi="宋体" w:eastAsia="宋体" w:cs="宋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0"/>
    </w:pPr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2"/>
    <customShpInfo spid="_x0000_s205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8081</Words>
  <Characters>8226</Characters>
  <TotalTime>7</TotalTime>
  <ScaleCrop>false</ScaleCrop>
  <LinksUpToDate>false</LinksUpToDate>
  <CharactersWithSpaces>8498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2025-03-17T09:20:00Z</dcterms:created>
  <dc:creator>Windows User</dc:creator>
  <cp:lastModifiedBy>小鹿</cp:lastModifiedBy>
  <dcterms:modified xsi:type="dcterms:W3CDTF">2025-03-17T09:32:44Z</dcterms:modified>
  <dc:title>北工职院政办字[2005]1号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2025-03-17T00:00:00Z</vt:filetime>
  </property>
  <property fmtid="{D5CDD505-2E9C-101B-9397-08002B2CF9AE}" pid="5" name="KSOTemplateDocerSaveRecord">
    <vt:lpwstr>eyJoZGlkIjoiNzdlNWU2NTdjNDY1OWM5OGVmYzQxNTRjZmFmYmU5NWYiLCJ1c2VySWQiOiIzMzA3NjcwNTEifQ==</vt:lpwstr>
  </property>
  <property fmtid="{D5CDD505-2E9C-101B-9397-08002B2CF9AE}" pid="6" name="KSOProductBuildVer">
    <vt:lpwstr>2052-12.1.0.20305</vt:lpwstr>
  </property>
  <property fmtid="{D5CDD505-2E9C-101B-9397-08002B2CF9AE}" pid="7" name="ICV">
    <vt:lpwstr>859A6BC400CF482C9EF9FF688FB18B5A_12</vt:lpwstr>
  </property>
</Properties>
</file>